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9C3320F">
      <w:pPr>
        <w:rPr>
          <w:color w:val="auto"/>
          <w:highlight w:val="none"/>
        </w:rPr>
      </w:pPr>
      <w:r>
        <w:rPr>
          <w:color w:val="auto"/>
          <w:highlight w:val="none"/>
        </w:rPr>
        <w:tab/>
      </w:r>
    </w:p>
    <w:p w14:paraId="6DF30B1E">
      <w:pPr>
        <w:jc w:val="center"/>
        <w:rPr>
          <w:rFonts w:ascii="宋体" w:hAnsi="宋体"/>
          <w:b/>
          <w:bCs/>
          <w:color w:val="auto"/>
          <w:spacing w:val="20"/>
          <w:sz w:val="84"/>
          <w:szCs w:val="84"/>
          <w:highlight w:val="none"/>
        </w:rPr>
      </w:pPr>
      <w:r>
        <w:rPr>
          <w:rFonts w:hint="eastAsia" w:ascii="宋体" w:hAnsi="宋体"/>
          <w:b/>
          <w:bCs/>
          <w:color w:val="auto"/>
          <w:spacing w:val="20"/>
          <w:sz w:val="84"/>
          <w:szCs w:val="84"/>
          <w:highlight w:val="none"/>
        </w:rPr>
        <w:t>温州市政府（分散）采购</w:t>
      </w:r>
    </w:p>
    <w:p w14:paraId="7CE2A21D">
      <w:pPr>
        <w:jc w:val="center"/>
        <w:rPr>
          <w:rFonts w:ascii="宋体" w:hAnsi="宋体" w:cs="宋体"/>
          <w:b/>
          <w:bCs/>
          <w:color w:val="auto"/>
          <w:spacing w:val="26"/>
          <w:sz w:val="52"/>
          <w:highlight w:val="none"/>
        </w:rPr>
      </w:pPr>
    </w:p>
    <w:p w14:paraId="128B48E2">
      <w:pPr>
        <w:ind w:firstLine="2357" w:firstLineChars="235"/>
        <w:rPr>
          <w:rFonts w:ascii="宋体" w:hAnsi="宋体" w:cs="宋体"/>
          <w:b/>
          <w:bCs/>
          <w:color w:val="auto"/>
          <w:spacing w:val="140"/>
          <w:sz w:val="72"/>
          <w:highlight w:val="none"/>
        </w:rPr>
      </w:pPr>
    </w:p>
    <w:p w14:paraId="4906666F">
      <w:pPr>
        <w:spacing w:line="360" w:lineRule="exact"/>
        <w:jc w:val="center"/>
        <w:rPr>
          <w:rFonts w:ascii="宋体" w:hAnsi="宋体" w:cs="宋体"/>
          <w:b/>
          <w:bCs/>
          <w:color w:val="auto"/>
          <w:spacing w:val="140"/>
          <w:sz w:val="72"/>
          <w:highlight w:val="none"/>
        </w:rPr>
      </w:pPr>
    </w:p>
    <w:p w14:paraId="54A421A9">
      <w:pPr>
        <w:spacing w:line="900" w:lineRule="exact"/>
        <w:jc w:val="center"/>
        <w:rPr>
          <w:rFonts w:ascii="宋体" w:hAnsi="宋体" w:cs="宋体"/>
          <w:b/>
          <w:bCs/>
          <w:color w:val="auto"/>
          <w:spacing w:val="140"/>
          <w:sz w:val="84"/>
          <w:szCs w:val="84"/>
          <w:highlight w:val="none"/>
        </w:rPr>
      </w:pPr>
      <w:r>
        <w:rPr>
          <w:rFonts w:hint="eastAsia" w:ascii="宋体" w:hAnsi="宋体" w:cs="宋体"/>
          <w:b/>
          <w:bCs/>
          <w:color w:val="auto"/>
          <w:spacing w:val="140"/>
          <w:sz w:val="84"/>
          <w:szCs w:val="84"/>
          <w:highlight w:val="none"/>
        </w:rPr>
        <w:t>招 标 文 件</w:t>
      </w:r>
    </w:p>
    <w:p w14:paraId="69529A77">
      <w:pPr>
        <w:pStyle w:val="17"/>
        <w:jc w:val="center"/>
        <w:rPr>
          <w:color w:val="auto"/>
          <w:highlight w:val="none"/>
        </w:rPr>
      </w:pPr>
      <w:r>
        <w:rPr>
          <w:rFonts w:hint="eastAsia" w:ascii="宋体" w:hAnsi="宋体" w:cs="宋体"/>
          <w:b/>
          <w:bCs/>
          <w:color w:val="auto"/>
          <w:spacing w:val="140"/>
          <w:sz w:val="84"/>
          <w:szCs w:val="84"/>
          <w:highlight w:val="none"/>
        </w:rPr>
        <w:t>（电子投标）</w:t>
      </w:r>
    </w:p>
    <w:p w14:paraId="4700A2D5">
      <w:pPr>
        <w:spacing w:line="400" w:lineRule="exact"/>
        <w:jc w:val="center"/>
        <w:rPr>
          <w:rFonts w:ascii="宋体" w:hAnsi="宋体" w:cs="宋体"/>
          <w:b/>
          <w:bCs/>
          <w:color w:val="auto"/>
          <w:sz w:val="32"/>
          <w:szCs w:val="32"/>
          <w:highlight w:val="none"/>
        </w:rPr>
      </w:pPr>
    </w:p>
    <w:p w14:paraId="05E27D74">
      <w:pPr>
        <w:spacing w:line="400" w:lineRule="exact"/>
        <w:jc w:val="center"/>
        <w:rPr>
          <w:rFonts w:ascii="宋体" w:hAnsi="宋体" w:cs="宋体"/>
          <w:b/>
          <w:bCs/>
          <w:color w:val="auto"/>
          <w:sz w:val="32"/>
          <w:szCs w:val="32"/>
          <w:highlight w:val="none"/>
        </w:rPr>
      </w:pPr>
    </w:p>
    <w:p w14:paraId="323BA4D8">
      <w:pPr>
        <w:rPr>
          <w:rFonts w:ascii="宋体" w:hAnsi="宋体" w:cs="宋体"/>
          <w:b/>
          <w:bCs/>
          <w:color w:val="auto"/>
          <w:sz w:val="24"/>
          <w:highlight w:val="none"/>
        </w:rPr>
      </w:pPr>
    </w:p>
    <w:p w14:paraId="5B798555">
      <w:pPr>
        <w:rPr>
          <w:rFonts w:ascii="宋体" w:hAnsi="宋体" w:cs="宋体"/>
          <w:b/>
          <w:bCs/>
          <w:color w:val="auto"/>
          <w:sz w:val="24"/>
          <w:highlight w:val="none"/>
        </w:rPr>
      </w:pPr>
    </w:p>
    <w:p w14:paraId="64337107">
      <w:pPr>
        <w:pStyle w:val="17"/>
        <w:rPr>
          <w:color w:val="auto"/>
          <w:highlight w:val="none"/>
        </w:rPr>
      </w:pPr>
    </w:p>
    <w:p w14:paraId="133E0344">
      <w:pPr>
        <w:spacing w:line="600" w:lineRule="exact"/>
        <w:ind w:left="1050" w:leftChars="500"/>
        <w:rPr>
          <w:rFonts w:hint="eastAsia" w:ascii="宋体" w:hAnsi="宋体" w:eastAsia="宋体"/>
          <w:color w:val="auto"/>
          <w:spacing w:val="30"/>
          <w:sz w:val="30"/>
          <w:highlight w:val="none"/>
          <w:lang w:eastAsia="zh-CN"/>
        </w:rPr>
      </w:pPr>
      <w:r>
        <w:rPr>
          <w:rFonts w:hint="eastAsia" w:ascii="宋体" w:hAnsi="宋体"/>
          <w:color w:val="auto"/>
          <w:spacing w:val="30"/>
          <w:sz w:val="30"/>
          <w:highlight w:val="none"/>
        </w:rPr>
        <w:t>项 目 编 号：</w:t>
      </w:r>
      <w:r>
        <w:rPr>
          <w:rFonts w:hint="eastAsia" w:ascii="宋体" w:hAnsi="宋体"/>
          <w:color w:val="auto"/>
          <w:spacing w:val="30"/>
          <w:sz w:val="30"/>
          <w:highlight w:val="none"/>
          <w:lang w:eastAsia="zh-CN"/>
        </w:rPr>
        <w:t>WZZF2025(ZC)-08-180（GK）</w:t>
      </w:r>
    </w:p>
    <w:p w14:paraId="03598A76">
      <w:pPr>
        <w:spacing w:line="600" w:lineRule="exact"/>
        <w:ind w:left="3570" w:leftChars="500" w:hanging="2520" w:hangingChars="700"/>
        <w:rPr>
          <w:rFonts w:hint="eastAsia" w:ascii="宋体" w:hAnsi="宋体" w:eastAsia="宋体"/>
          <w:color w:val="auto"/>
          <w:spacing w:val="30"/>
          <w:sz w:val="30"/>
          <w:highlight w:val="none"/>
          <w:lang w:eastAsia="zh-CN"/>
        </w:rPr>
      </w:pPr>
      <w:r>
        <w:rPr>
          <w:rFonts w:hint="eastAsia" w:ascii="宋体" w:hAnsi="宋体"/>
          <w:color w:val="auto"/>
          <w:spacing w:val="30"/>
          <w:sz w:val="30"/>
          <w:highlight w:val="none"/>
        </w:rPr>
        <w:t>项 目 名 称：</w:t>
      </w:r>
      <w:r>
        <w:rPr>
          <w:rFonts w:hint="eastAsia" w:ascii="宋体" w:hAnsi="宋体"/>
          <w:color w:val="auto"/>
          <w:spacing w:val="30"/>
          <w:sz w:val="30"/>
          <w:highlight w:val="none"/>
          <w:lang w:eastAsia="zh-CN"/>
        </w:rPr>
        <w:t>提升国际化办学水平项目（重）</w:t>
      </w:r>
    </w:p>
    <w:p w14:paraId="506DF309">
      <w:pPr>
        <w:spacing w:line="600" w:lineRule="exact"/>
        <w:ind w:left="1050" w:leftChars="500"/>
        <w:rPr>
          <w:rFonts w:ascii="宋体" w:hAnsi="宋体"/>
          <w:color w:val="auto"/>
          <w:spacing w:val="40"/>
          <w:sz w:val="30"/>
          <w:highlight w:val="none"/>
        </w:rPr>
      </w:pPr>
      <w:r>
        <w:rPr>
          <w:rFonts w:hint="eastAsia" w:ascii="宋体" w:hAnsi="宋体"/>
          <w:color w:val="auto"/>
          <w:spacing w:val="30"/>
          <w:sz w:val="30"/>
          <w:highlight w:val="none"/>
        </w:rPr>
        <w:t>采 购 方 式：</w:t>
      </w:r>
      <w:r>
        <w:rPr>
          <w:rFonts w:hint="eastAsia" w:ascii="宋体" w:hAnsi="宋体"/>
          <w:color w:val="auto"/>
          <w:sz w:val="30"/>
          <w:highlight w:val="none"/>
        </w:rPr>
        <w:t>公开招标</w:t>
      </w:r>
    </w:p>
    <w:p w14:paraId="43BC0DF4">
      <w:pPr>
        <w:spacing w:line="600" w:lineRule="exact"/>
        <w:ind w:firstLine="1140" w:firstLineChars="300"/>
        <w:rPr>
          <w:rFonts w:ascii="宋体" w:hAnsi="宋体" w:cs="宋体"/>
          <w:color w:val="auto"/>
          <w:spacing w:val="40"/>
          <w:sz w:val="30"/>
          <w:szCs w:val="30"/>
          <w:highlight w:val="none"/>
        </w:rPr>
      </w:pPr>
    </w:p>
    <w:p w14:paraId="32B42E04">
      <w:pPr>
        <w:rPr>
          <w:color w:val="auto"/>
          <w:highlight w:val="none"/>
        </w:rPr>
      </w:pPr>
    </w:p>
    <w:p w14:paraId="12F57601">
      <w:pPr>
        <w:rPr>
          <w:color w:val="auto"/>
          <w:highlight w:val="none"/>
        </w:rPr>
      </w:pPr>
    </w:p>
    <w:p w14:paraId="4673AE33">
      <w:pPr>
        <w:rPr>
          <w:color w:val="auto"/>
          <w:highlight w:val="none"/>
        </w:rPr>
      </w:pPr>
    </w:p>
    <w:p w14:paraId="6A4C0F79">
      <w:pPr>
        <w:pStyle w:val="56"/>
        <w:ind w:firstLine="560"/>
        <w:rPr>
          <w:rFonts w:ascii="Times New Roman" w:eastAsia="宋体"/>
          <w:color w:val="auto"/>
          <w:highlight w:val="none"/>
        </w:rPr>
      </w:pPr>
    </w:p>
    <w:p w14:paraId="58B0FFC2">
      <w:pPr>
        <w:pStyle w:val="56"/>
        <w:ind w:firstLine="560"/>
        <w:rPr>
          <w:rFonts w:ascii="Times New Roman" w:eastAsia="宋体"/>
          <w:color w:val="auto"/>
          <w:highlight w:val="none"/>
        </w:rPr>
      </w:pPr>
    </w:p>
    <w:p w14:paraId="56E47529">
      <w:pPr>
        <w:spacing w:line="600" w:lineRule="exact"/>
        <w:ind w:firstLine="2711" w:firstLineChars="900"/>
        <w:rPr>
          <w:rFonts w:ascii="宋体" w:hAnsi="宋体" w:cs="宋体"/>
          <w:b/>
          <w:color w:val="auto"/>
          <w:sz w:val="30"/>
          <w:szCs w:val="30"/>
          <w:highlight w:val="none"/>
        </w:rPr>
      </w:pPr>
      <w:r>
        <w:rPr>
          <w:rFonts w:hint="eastAsia" w:ascii="宋体" w:hAnsi="宋体" w:cs="宋体"/>
          <w:b/>
          <w:color w:val="auto"/>
          <w:sz w:val="30"/>
          <w:szCs w:val="30"/>
          <w:highlight w:val="none"/>
        </w:rPr>
        <w:t>采购人：</w:t>
      </w:r>
      <w:r>
        <w:rPr>
          <w:rFonts w:hint="eastAsia" w:ascii="宋体" w:hAnsi="宋体"/>
          <w:b/>
          <w:color w:val="auto"/>
          <w:kern w:val="11"/>
          <w:sz w:val="30"/>
          <w:highlight w:val="none"/>
        </w:rPr>
        <w:t>浙江安防职业技术学院</w:t>
      </w:r>
    </w:p>
    <w:p w14:paraId="05C22020">
      <w:pPr>
        <w:spacing w:line="600" w:lineRule="exact"/>
        <w:ind w:left="753" w:hanging="753" w:hangingChars="250"/>
        <w:jc w:val="center"/>
        <w:rPr>
          <w:rFonts w:ascii="宋体" w:hAnsi="宋体" w:cs="宋体"/>
          <w:b/>
          <w:color w:val="auto"/>
          <w:sz w:val="30"/>
          <w:szCs w:val="30"/>
          <w:highlight w:val="none"/>
        </w:rPr>
      </w:pPr>
      <w:r>
        <w:rPr>
          <w:rFonts w:hint="eastAsia" w:ascii="宋体" w:hAnsi="宋体" w:cs="宋体"/>
          <w:b/>
          <w:color w:val="auto"/>
          <w:sz w:val="30"/>
          <w:szCs w:val="30"/>
          <w:highlight w:val="none"/>
        </w:rPr>
        <w:t>采购代理机构：温州正风招标代理有限公司</w:t>
      </w:r>
    </w:p>
    <w:p w14:paraId="212C288D">
      <w:pPr>
        <w:spacing w:line="760" w:lineRule="exact"/>
        <w:ind w:left="753" w:hanging="753" w:hangingChars="250"/>
        <w:jc w:val="center"/>
        <w:rPr>
          <w:rFonts w:ascii="宋体" w:hAnsi="宋体" w:cs="宋体"/>
          <w:b/>
          <w:color w:val="auto"/>
          <w:sz w:val="30"/>
          <w:szCs w:val="30"/>
          <w:highlight w:val="none"/>
        </w:rPr>
      </w:pPr>
      <w:r>
        <w:rPr>
          <w:rFonts w:hint="eastAsia" w:ascii="宋体" w:hAnsi="宋体" w:cs="宋体"/>
          <w:b/>
          <w:color w:val="auto"/>
          <w:sz w:val="30"/>
          <w:szCs w:val="30"/>
          <w:highlight w:val="none"/>
        </w:rPr>
        <w:t>二〇二五年</w:t>
      </w:r>
      <w:r>
        <w:rPr>
          <w:rFonts w:hint="eastAsia" w:ascii="宋体" w:hAnsi="宋体" w:cs="宋体"/>
          <w:b/>
          <w:color w:val="auto"/>
          <w:sz w:val="30"/>
          <w:szCs w:val="30"/>
          <w:highlight w:val="none"/>
          <w:lang w:val="en-US" w:eastAsia="zh-CN"/>
        </w:rPr>
        <w:t>八</w:t>
      </w:r>
      <w:r>
        <w:rPr>
          <w:rFonts w:hint="eastAsia" w:ascii="宋体" w:hAnsi="宋体" w:cs="宋体"/>
          <w:b/>
          <w:color w:val="auto"/>
          <w:sz w:val="30"/>
          <w:szCs w:val="30"/>
          <w:highlight w:val="none"/>
        </w:rPr>
        <w:t>月</w:t>
      </w:r>
    </w:p>
    <w:p w14:paraId="35262930">
      <w:pPr>
        <w:pStyle w:val="2"/>
        <w:spacing w:line="600" w:lineRule="exact"/>
        <w:jc w:val="center"/>
        <w:rPr>
          <w:rFonts w:ascii="黑体" w:hAnsi="黑体" w:eastAsia="黑体"/>
          <w:bCs/>
          <w:color w:val="auto"/>
          <w:sz w:val="36"/>
          <w:szCs w:val="36"/>
          <w:highlight w:val="none"/>
        </w:rPr>
        <w:sectPr>
          <w:footerReference r:id="rId4" w:type="default"/>
          <w:headerReference r:id="rId3" w:type="even"/>
          <w:footerReference r:id="rId5" w:type="even"/>
          <w:pgSz w:w="11906" w:h="16838"/>
          <w:pgMar w:top="1134" w:right="1134" w:bottom="1134" w:left="1134" w:header="851" w:footer="992" w:gutter="0"/>
          <w:cols w:space="720" w:num="1"/>
          <w:docGrid w:linePitch="312" w:charSpace="0"/>
        </w:sectPr>
      </w:pPr>
      <w:bookmarkStart w:id="0" w:name="_Toc230773770"/>
    </w:p>
    <w:p w14:paraId="3C0DB47F">
      <w:pPr>
        <w:pStyle w:val="2"/>
        <w:spacing w:line="600" w:lineRule="exact"/>
        <w:jc w:val="center"/>
        <w:rPr>
          <w:rFonts w:ascii="黑体" w:hAnsi="黑体" w:eastAsia="黑体"/>
          <w:bCs/>
          <w:color w:val="auto"/>
          <w:sz w:val="36"/>
          <w:szCs w:val="36"/>
          <w:highlight w:val="none"/>
        </w:rPr>
      </w:pPr>
      <w:bookmarkStart w:id="1" w:name="_Toc32679"/>
      <w:r>
        <w:rPr>
          <w:rFonts w:hint="eastAsia" w:ascii="黑体" w:hAnsi="黑体" w:eastAsia="黑体"/>
          <w:bCs/>
          <w:color w:val="auto"/>
          <w:sz w:val="36"/>
          <w:szCs w:val="36"/>
          <w:highlight w:val="none"/>
        </w:rPr>
        <w:t>目    录</w:t>
      </w:r>
      <w:bookmarkEnd w:id="0"/>
      <w:bookmarkEnd w:id="1"/>
    </w:p>
    <w:p w14:paraId="4B70AD3B">
      <w:pPr>
        <w:jc w:val="right"/>
        <w:rPr>
          <w:rFonts w:ascii="宋体" w:hAnsi="宋体" w:cs="宋体"/>
          <w:color w:val="auto"/>
          <w:highlight w:val="none"/>
        </w:rPr>
      </w:pPr>
    </w:p>
    <w:p w14:paraId="71DE4393">
      <w:pPr>
        <w:pStyle w:val="30"/>
        <w:tabs>
          <w:tab w:val="right" w:leader="dot" w:pos="9638"/>
          <w:tab w:val="clear" w:pos="9628"/>
        </w:tabs>
      </w:pPr>
      <w:r>
        <w:rPr>
          <w:rFonts w:hint="eastAsia" w:ascii="宋体" w:hAnsi="宋体" w:cs="宋体"/>
          <w:b/>
          <w:color w:val="auto"/>
          <w:szCs w:val="21"/>
          <w:highlight w:val="none"/>
        </w:rPr>
        <w:fldChar w:fldCharType="begin"/>
      </w:r>
      <w:r>
        <w:rPr>
          <w:rFonts w:hint="eastAsia" w:ascii="宋体" w:hAnsi="宋体" w:cs="宋体"/>
          <w:color w:val="auto"/>
          <w:szCs w:val="21"/>
          <w:highlight w:val="none"/>
        </w:rPr>
        <w:instrText xml:space="preserve"> TOC \o "1-3" \h \z \u </w:instrText>
      </w:r>
      <w:r>
        <w:rPr>
          <w:rFonts w:hint="eastAsia" w:ascii="宋体" w:hAnsi="宋体" w:cs="宋体"/>
          <w:b/>
          <w:color w:val="auto"/>
          <w:szCs w:val="21"/>
          <w:highlight w:val="none"/>
        </w:rPr>
        <w:fldChar w:fldCharType="separate"/>
      </w: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_Toc32679 </w:instrText>
      </w:r>
      <w:r>
        <w:rPr>
          <w:rFonts w:hint="eastAsia" w:ascii="宋体" w:hAnsi="宋体" w:cs="宋体"/>
          <w:szCs w:val="21"/>
          <w:highlight w:val="none"/>
        </w:rPr>
        <w:fldChar w:fldCharType="separate"/>
      </w:r>
      <w:r>
        <w:rPr>
          <w:rFonts w:hint="eastAsia" w:ascii="黑体" w:hAnsi="黑体" w:eastAsia="黑体"/>
          <w:bCs/>
          <w:szCs w:val="36"/>
          <w:highlight w:val="none"/>
        </w:rPr>
        <w:t>目    录</w:t>
      </w:r>
      <w:r>
        <w:tab/>
      </w:r>
      <w:r>
        <w:fldChar w:fldCharType="begin"/>
      </w:r>
      <w:r>
        <w:instrText xml:space="preserve"> PAGEREF _Toc32679 \h </w:instrText>
      </w:r>
      <w:r>
        <w:fldChar w:fldCharType="separate"/>
      </w:r>
      <w:r>
        <w:t>1</w:t>
      </w:r>
      <w:r>
        <w:fldChar w:fldCharType="end"/>
      </w:r>
      <w:r>
        <w:rPr>
          <w:rFonts w:hint="eastAsia" w:ascii="宋体" w:hAnsi="宋体" w:cs="宋体"/>
          <w:color w:val="auto"/>
          <w:szCs w:val="21"/>
          <w:highlight w:val="none"/>
        </w:rPr>
        <w:fldChar w:fldCharType="end"/>
      </w:r>
    </w:p>
    <w:p w14:paraId="7BF42E9A">
      <w:pPr>
        <w:pStyle w:val="30"/>
        <w:tabs>
          <w:tab w:val="right" w:leader="dot" w:pos="9638"/>
          <w:tab w:val="clear" w:pos="9628"/>
        </w:tabs>
      </w:pPr>
      <w:r>
        <w:rPr>
          <w:rFonts w:hint="eastAsia" w:ascii="宋体" w:hAnsi="宋体" w:cs="宋体"/>
          <w:bCs/>
          <w:caps/>
          <w:color w:val="auto"/>
          <w:szCs w:val="21"/>
          <w:highlight w:val="none"/>
        </w:rPr>
        <w:fldChar w:fldCharType="begin"/>
      </w:r>
      <w:r>
        <w:rPr>
          <w:rFonts w:hint="eastAsia" w:ascii="宋体" w:hAnsi="宋体" w:cs="宋体"/>
          <w:bCs/>
          <w:caps/>
          <w:szCs w:val="21"/>
          <w:highlight w:val="none"/>
        </w:rPr>
        <w:instrText xml:space="preserve"> HYPERLINK \l _Toc17235 </w:instrText>
      </w:r>
      <w:r>
        <w:rPr>
          <w:rFonts w:hint="eastAsia" w:ascii="宋体" w:hAnsi="宋体" w:cs="宋体"/>
          <w:bCs/>
          <w:caps/>
          <w:szCs w:val="21"/>
          <w:highlight w:val="none"/>
        </w:rPr>
        <w:fldChar w:fldCharType="separate"/>
      </w:r>
      <w:r>
        <w:rPr>
          <w:rFonts w:hint="eastAsia" w:ascii="黑体" w:hAnsi="黑体" w:eastAsia="黑体"/>
          <w:bCs/>
          <w:szCs w:val="36"/>
          <w:highlight w:val="none"/>
        </w:rPr>
        <w:t>第一部分   招标公告</w:t>
      </w:r>
      <w:r>
        <w:tab/>
      </w:r>
      <w:r>
        <w:fldChar w:fldCharType="begin"/>
      </w:r>
      <w:r>
        <w:instrText xml:space="preserve"> PAGEREF _Toc17235 \h </w:instrText>
      </w:r>
      <w:r>
        <w:fldChar w:fldCharType="separate"/>
      </w:r>
      <w:r>
        <w:t>2</w:t>
      </w:r>
      <w:r>
        <w:fldChar w:fldCharType="end"/>
      </w:r>
      <w:r>
        <w:rPr>
          <w:rFonts w:hint="eastAsia" w:ascii="宋体" w:hAnsi="宋体" w:cs="宋体"/>
          <w:bCs/>
          <w:caps/>
          <w:color w:val="auto"/>
          <w:szCs w:val="21"/>
          <w:highlight w:val="none"/>
        </w:rPr>
        <w:fldChar w:fldCharType="end"/>
      </w:r>
    </w:p>
    <w:p w14:paraId="738DC66C">
      <w:pPr>
        <w:pStyle w:val="30"/>
        <w:tabs>
          <w:tab w:val="right" w:leader="dot" w:pos="9638"/>
          <w:tab w:val="clear" w:pos="9628"/>
        </w:tabs>
      </w:pPr>
      <w:r>
        <w:rPr>
          <w:rFonts w:hint="eastAsia" w:ascii="宋体" w:hAnsi="宋体" w:cs="宋体"/>
          <w:bCs/>
          <w:caps/>
          <w:color w:val="auto"/>
          <w:szCs w:val="21"/>
          <w:highlight w:val="none"/>
        </w:rPr>
        <w:fldChar w:fldCharType="begin"/>
      </w:r>
      <w:r>
        <w:rPr>
          <w:rFonts w:hint="eastAsia" w:ascii="宋体" w:hAnsi="宋体" w:cs="宋体"/>
          <w:bCs/>
          <w:caps/>
          <w:szCs w:val="21"/>
          <w:highlight w:val="none"/>
        </w:rPr>
        <w:instrText xml:space="preserve"> HYPERLINK \l _Toc28467 </w:instrText>
      </w:r>
      <w:r>
        <w:rPr>
          <w:rFonts w:hint="eastAsia" w:ascii="宋体" w:hAnsi="宋体" w:cs="宋体"/>
          <w:bCs/>
          <w:caps/>
          <w:szCs w:val="21"/>
          <w:highlight w:val="none"/>
        </w:rPr>
        <w:fldChar w:fldCharType="separate"/>
      </w:r>
      <w:r>
        <w:rPr>
          <w:rFonts w:hint="eastAsia" w:ascii="黑体" w:hAnsi="黑体" w:eastAsia="黑体"/>
          <w:bCs/>
          <w:szCs w:val="36"/>
          <w:highlight w:val="none"/>
        </w:rPr>
        <w:t>第二部分   投标人须知</w:t>
      </w:r>
      <w:r>
        <w:tab/>
      </w:r>
      <w:r>
        <w:fldChar w:fldCharType="begin"/>
      </w:r>
      <w:r>
        <w:instrText xml:space="preserve"> PAGEREF _Toc28467 \h </w:instrText>
      </w:r>
      <w:r>
        <w:fldChar w:fldCharType="separate"/>
      </w:r>
      <w:r>
        <w:t>5</w:t>
      </w:r>
      <w:r>
        <w:fldChar w:fldCharType="end"/>
      </w:r>
      <w:r>
        <w:rPr>
          <w:rFonts w:hint="eastAsia" w:ascii="宋体" w:hAnsi="宋体" w:cs="宋体"/>
          <w:bCs/>
          <w:caps/>
          <w:color w:val="auto"/>
          <w:szCs w:val="21"/>
          <w:highlight w:val="none"/>
        </w:rPr>
        <w:fldChar w:fldCharType="end"/>
      </w:r>
    </w:p>
    <w:p w14:paraId="5B7957B9">
      <w:pPr>
        <w:pStyle w:val="33"/>
        <w:tabs>
          <w:tab w:val="right" w:leader="dot" w:pos="9638"/>
        </w:tabs>
      </w:pPr>
      <w:r>
        <w:rPr>
          <w:rFonts w:hint="eastAsia" w:ascii="宋体" w:hAnsi="宋体" w:cs="宋体"/>
          <w:bCs/>
          <w:caps/>
          <w:color w:val="auto"/>
          <w:szCs w:val="21"/>
          <w:highlight w:val="none"/>
        </w:rPr>
        <w:fldChar w:fldCharType="begin"/>
      </w:r>
      <w:r>
        <w:rPr>
          <w:rFonts w:hint="eastAsia" w:ascii="宋体" w:hAnsi="宋体" w:cs="宋体"/>
          <w:bCs/>
          <w:caps/>
          <w:szCs w:val="21"/>
          <w:highlight w:val="none"/>
        </w:rPr>
        <w:instrText xml:space="preserve"> HYPERLINK \l _Toc27928 </w:instrText>
      </w:r>
      <w:r>
        <w:rPr>
          <w:rFonts w:hint="eastAsia" w:ascii="宋体" w:hAnsi="宋体" w:cs="宋体"/>
          <w:bCs/>
          <w:caps/>
          <w:szCs w:val="21"/>
          <w:highlight w:val="none"/>
        </w:rPr>
        <w:fldChar w:fldCharType="separate"/>
      </w:r>
      <w:r>
        <w:rPr>
          <w:rFonts w:hint="eastAsia" w:ascii="宋体" w:hAnsi="宋体" w:eastAsia="宋体" w:cs="宋体"/>
          <w:szCs w:val="28"/>
          <w:highlight w:val="none"/>
        </w:rPr>
        <w:t>投标人须知前附表</w:t>
      </w:r>
      <w:r>
        <w:tab/>
      </w:r>
      <w:r>
        <w:fldChar w:fldCharType="begin"/>
      </w:r>
      <w:r>
        <w:instrText xml:space="preserve"> PAGEREF _Toc27928 \h </w:instrText>
      </w:r>
      <w:r>
        <w:fldChar w:fldCharType="separate"/>
      </w:r>
      <w:r>
        <w:t>5</w:t>
      </w:r>
      <w:r>
        <w:fldChar w:fldCharType="end"/>
      </w:r>
      <w:r>
        <w:rPr>
          <w:rFonts w:hint="eastAsia" w:ascii="宋体" w:hAnsi="宋体" w:cs="宋体"/>
          <w:bCs/>
          <w:caps/>
          <w:color w:val="auto"/>
          <w:szCs w:val="21"/>
          <w:highlight w:val="none"/>
        </w:rPr>
        <w:fldChar w:fldCharType="end"/>
      </w:r>
    </w:p>
    <w:p w14:paraId="774AC928">
      <w:pPr>
        <w:pStyle w:val="33"/>
        <w:tabs>
          <w:tab w:val="right" w:leader="dot" w:pos="9638"/>
        </w:tabs>
      </w:pPr>
      <w:r>
        <w:rPr>
          <w:rFonts w:hint="eastAsia" w:ascii="宋体" w:hAnsi="宋体" w:cs="宋体"/>
          <w:bCs/>
          <w:caps/>
          <w:color w:val="auto"/>
          <w:szCs w:val="21"/>
          <w:highlight w:val="none"/>
        </w:rPr>
        <w:fldChar w:fldCharType="begin"/>
      </w:r>
      <w:r>
        <w:rPr>
          <w:rFonts w:hint="eastAsia" w:ascii="宋体" w:hAnsi="宋体" w:cs="宋体"/>
          <w:bCs/>
          <w:caps/>
          <w:szCs w:val="21"/>
          <w:highlight w:val="none"/>
        </w:rPr>
        <w:instrText xml:space="preserve"> HYPERLINK \l _Toc31820 </w:instrText>
      </w:r>
      <w:r>
        <w:rPr>
          <w:rFonts w:hint="eastAsia" w:ascii="宋体" w:hAnsi="宋体" w:cs="宋体"/>
          <w:bCs/>
          <w:caps/>
          <w:szCs w:val="21"/>
          <w:highlight w:val="none"/>
        </w:rPr>
        <w:fldChar w:fldCharType="separate"/>
      </w:r>
      <w:r>
        <w:rPr>
          <w:rFonts w:hint="eastAsia" w:ascii="宋体" w:hAnsi="宋体" w:eastAsia="宋体" w:cs="宋体"/>
          <w:szCs w:val="28"/>
          <w:highlight w:val="none"/>
        </w:rPr>
        <w:t>一、 说   明</w:t>
      </w:r>
      <w:r>
        <w:tab/>
      </w:r>
      <w:r>
        <w:fldChar w:fldCharType="begin"/>
      </w:r>
      <w:r>
        <w:instrText xml:space="preserve"> PAGEREF _Toc31820 \h </w:instrText>
      </w:r>
      <w:r>
        <w:fldChar w:fldCharType="separate"/>
      </w:r>
      <w:r>
        <w:t>9</w:t>
      </w:r>
      <w:r>
        <w:fldChar w:fldCharType="end"/>
      </w:r>
      <w:r>
        <w:rPr>
          <w:rFonts w:hint="eastAsia" w:ascii="宋体" w:hAnsi="宋体" w:cs="宋体"/>
          <w:bCs/>
          <w:caps/>
          <w:color w:val="auto"/>
          <w:szCs w:val="21"/>
          <w:highlight w:val="none"/>
        </w:rPr>
        <w:fldChar w:fldCharType="end"/>
      </w:r>
    </w:p>
    <w:p w14:paraId="1A3F281D">
      <w:pPr>
        <w:pStyle w:val="33"/>
        <w:tabs>
          <w:tab w:val="right" w:leader="dot" w:pos="9638"/>
        </w:tabs>
      </w:pPr>
      <w:r>
        <w:rPr>
          <w:rFonts w:hint="eastAsia" w:ascii="宋体" w:hAnsi="宋体" w:cs="宋体"/>
          <w:bCs/>
          <w:caps/>
          <w:color w:val="auto"/>
          <w:szCs w:val="21"/>
          <w:highlight w:val="none"/>
        </w:rPr>
        <w:fldChar w:fldCharType="begin"/>
      </w:r>
      <w:r>
        <w:rPr>
          <w:rFonts w:hint="eastAsia" w:ascii="宋体" w:hAnsi="宋体" w:cs="宋体"/>
          <w:bCs/>
          <w:caps/>
          <w:szCs w:val="21"/>
          <w:highlight w:val="none"/>
        </w:rPr>
        <w:instrText xml:space="preserve"> HYPERLINK \l _Toc19385 </w:instrText>
      </w:r>
      <w:r>
        <w:rPr>
          <w:rFonts w:hint="eastAsia" w:ascii="宋体" w:hAnsi="宋体" w:cs="宋体"/>
          <w:bCs/>
          <w:caps/>
          <w:szCs w:val="21"/>
          <w:highlight w:val="none"/>
        </w:rPr>
        <w:fldChar w:fldCharType="separate"/>
      </w:r>
      <w:r>
        <w:rPr>
          <w:rFonts w:hint="eastAsia" w:ascii="宋体" w:hAnsi="宋体" w:eastAsia="宋体" w:cs="宋体"/>
          <w:szCs w:val="28"/>
          <w:highlight w:val="none"/>
        </w:rPr>
        <w:t>二、 招标文件</w:t>
      </w:r>
      <w:r>
        <w:tab/>
      </w:r>
      <w:r>
        <w:fldChar w:fldCharType="begin"/>
      </w:r>
      <w:r>
        <w:instrText xml:space="preserve"> PAGEREF _Toc19385 \h </w:instrText>
      </w:r>
      <w:r>
        <w:fldChar w:fldCharType="separate"/>
      </w:r>
      <w:r>
        <w:t>13</w:t>
      </w:r>
      <w:r>
        <w:fldChar w:fldCharType="end"/>
      </w:r>
      <w:r>
        <w:rPr>
          <w:rFonts w:hint="eastAsia" w:ascii="宋体" w:hAnsi="宋体" w:cs="宋体"/>
          <w:bCs/>
          <w:caps/>
          <w:color w:val="auto"/>
          <w:szCs w:val="21"/>
          <w:highlight w:val="none"/>
        </w:rPr>
        <w:fldChar w:fldCharType="end"/>
      </w:r>
    </w:p>
    <w:p w14:paraId="30389D44">
      <w:pPr>
        <w:pStyle w:val="33"/>
        <w:tabs>
          <w:tab w:val="right" w:leader="dot" w:pos="9638"/>
        </w:tabs>
      </w:pPr>
      <w:r>
        <w:rPr>
          <w:rFonts w:hint="eastAsia" w:ascii="宋体" w:hAnsi="宋体" w:cs="宋体"/>
          <w:bCs/>
          <w:caps/>
          <w:color w:val="auto"/>
          <w:szCs w:val="21"/>
          <w:highlight w:val="none"/>
        </w:rPr>
        <w:fldChar w:fldCharType="begin"/>
      </w:r>
      <w:r>
        <w:rPr>
          <w:rFonts w:hint="eastAsia" w:ascii="宋体" w:hAnsi="宋体" w:cs="宋体"/>
          <w:bCs/>
          <w:caps/>
          <w:szCs w:val="21"/>
          <w:highlight w:val="none"/>
        </w:rPr>
        <w:instrText xml:space="preserve"> HYPERLINK \l _Toc24391 </w:instrText>
      </w:r>
      <w:r>
        <w:rPr>
          <w:rFonts w:hint="eastAsia" w:ascii="宋体" w:hAnsi="宋体" w:cs="宋体"/>
          <w:bCs/>
          <w:caps/>
          <w:szCs w:val="21"/>
          <w:highlight w:val="none"/>
        </w:rPr>
        <w:fldChar w:fldCharType="separate"/>
      </w:r>
      <w:r>
        <w:rPr>
          <w:rFonts w:hint="eastAsia" w:ascii="宋体" w:hAnsi="宋体" w:eastAsia="宋体" w:cs="宋体"/>
          <w:szCs w:val="28"/>
          <w:highlight w:val="none"/>
        </w:rPr>
        <w:t>三、 投标文件的编制</w:t>
      </w:r>
      <w:r>
        <w:tab/>
      </w:r>
      <w:r>
        <w:fldChar w:fldCharType="begin"/>
      </w:r>
      <w:r>
        <w:instrText xml:space="preserve"> PAGEREF _Toc24391 \h </w:instrText>
      </w:r>
      <w:r>
        <w:fldChar w:fldCharType="separate"/>
      </w:r>
      <w:r>
        <w:t>14</w:t>
      </w:r>
      <w:r>
        <w:fldChar w:fldCharType="end"/>
      </w:r>
      <w:r>
        <w:rPr>
          <w:rFonts w:hint="eastAsia" w:ascii="宋体" w:hAnsi="宋体" w:cs="宋体"/>
          <w:bCs/>
          <w:caps/>
          <w:color w:val="auto"/>
          <w:szCs w:val="21"/>
          <w:highlight w:val="none"/>
        </w:rPr>
        <w:fldChar w:fldCharType="end"/>
      </w:r>
    </w:p>
    <w:p w14:paraId="10E5E71F">
      <w:pPr>
        <w:pStyle w:val="33"/>
        <w:tabs>
          <w:tab w:val="right" w:leader="dot" w:pos="9638"/>
        </w:tabs>
      </w:pPr>
      <w:r>
        <w:rPr>
          <w:rFonts w:hint="eastAsia" w:ascii="宋体" w:hAnsi="宋体" w:cs="宋体"/>
          <w:bCs/>
          <w:caps/>
          <w:color w:val="auto"/>
          <w:szCs w:val="21"/>
          <w:highlight w:val="none"/>
        </w:rPr>
        <w:fldChar w:fldCharType="begin"/>
      </w:r>
      <w:r>
        <w:rPr>
          <w:rFonts w:hint="eastAsia" w:ascii="宋体" w:hAnsi="宋体" w:cs="宋体"/>
          <w:bCs/>
          <w:caps/>
          <w:szCs w:val="21"/>
          <w:highlight w:val="none"/>
        </w:rPr>
        <w:instrText xml:space="preserve"> HYPERLINK \l _Toc29777 </w:instrText>
      </w:r>
      <w:r>
        <w:rPr>
          <w:rFonts w:hint="eastAsia" w:ascii="宋体" w:hAnsi="宋体" w:cs="宋体"/>
          <w:bCs/>
          <w:caps/>
          <w:szCs w:val="21"/>
          <w:highlight w:val="none"/>
        </w:rPr>
        <w:fldChar w:fldCharType="separate"/>
      </w:r>
      <w:r>
        <w:rPr>
          <w:rFonts w:hint="eastAsia" w:ascii="宋体" w:hAnsi="宋体" w:eastAsia="宋体" w:cs="宋体"/>
          <w:szCs w:val="28"/>
          <w:highlight w:val="none"/>
        </w:rPr>
        <w:t>四、 投标文件的递交</w:t>
      </w:r>
      <w:r>
        <w:tab/>
      </w:r>
      <w:r>
        <w:fldChar w:fldCharType="begin"/>
      </w:r>
      <w:r>
        <w:instrText xml:space="preserve"> PAGEREF _Toc29777 \h </w:instrText>
      </w:r>
      <w:r>
        <w:fldChar w:fldCharType="separate"/>
      </w:r>
      <w:r>
        <w:t>16</w:t>
      </w:r>
      <w:r>
        <w:fldChar w:fldCharType="end"/>
      </w:r>
      <w:r>
        <w:rPr>
          <w:rFonts w:hint="eastAsia" w:ascii="宋体" w:hAnsi="宋体" w:cs="宋体"/>
          <w:bCs/>
          <w:caps/>
          <w:color w:val="auto"/>
          <w:szCs w:val="21"/>
          <w:highlight w:val="none"/>
        </w:rPr>
        <w:fldChar w:fldCharType="end"/>
      </w:r>
    </w:p>
    <w:p w14:paraId="3F53AF36">
      <w:pPr>
        <w:pStyle w:val="33"/>
        <w:tabs>
          <w:tab w:val="right" w:leader="dot" w:pos="9638"/>
        </w:tabs>
      </w:pPr>
      <w:r>
        <w:rPr>
          <w:rFonts w:hint="eastAsia" w:ascii="宋体" w:hAnsi="宋体" w:cs="宋体"/>
          <w:bCs/>
          <w:caps/>
          <w:color w:val="auto"/>
          <w:szCs w:val="21"/>
          <w:highlight w:val="none"/>
        </w:rPr>
        <w:fldChar w:fldCharType="begin"/>
      </w:r>
      <w:r>
        <w:rPr>
          <w:rFonts w:hint="eastAsia" w:ascii="宋体" w:hAnsi="宋体" w:cs="宋体"/>
          <w:bCs/>
          <w:caps/>
          <w:szCs w:val="21"/>
          <w:highlight w:val="none"/>
        </w:rPr>
        <w:instrText xml:space="preserve"> HYPERLINK \l _Toc1666 </w:instrText>
      </w:r>
      <w:r>
        <w:rPr>
          <w:rFonts w:hint="eastAsia" w:ascii="宋体" w:hAnsi="宋体" w:cs="宋体"/>
          <w:bCs/>
          <w:caps/>
          <w:szCs w:val="21"/>
          <w:highlight w:val="none"/>
        </w:rPr>
        <w:fldChar w:fldCharType="separate"/>
      </w:r>
      <w:r>
        <w:rPr>
          <w:rFonts w:hint="eastAsia" w:ascii="宋体" w:hAnsi="宋体" w:eastAsia="宋体" w:cs="宋体"/>
          <w:szCs w:val="28"/>
          <w:highlight w:val="none"/>
        </w:rPr>
        <w:t>五、 开标和评标</w:t>
      </w:r>
      <w:r>
        <w:tab/>
      </w:r>
      <w:r>
        <w:fldChar w:fldCharType="begin"/>
      </w:r>
      <w:r>
        <w:instrText xml:space="preserve"> PAGEREF _Toc1666 \h </w:instrText>
      </w:r>
      <w:r>
        <w:fldChar w:fldCharType="separate"/>
      </w:r>
      <w:r>
        <w:t>17</w:t>
      </w:r>
      <w:r>
        <w:fldChar w:fldCharType="end"/>
      </w:r>
      <w:r>
        <w:rPr>
          <w:rFonts w:hint="eastAsia" w:ascii="宋体" w:hAnsi="宋体" w:cs="宋体"/>
          <w:bCs/>
          <w:caps/>
          <w:color w:val="auto"/>
          <w:szCs w:val="21"/>
          <w:highlight w:val="none"/>
        </w:rPr>
        <w:fldChar w:fldCharType="end"/>
      </w:r>
    </w:p>
    <w:p w14:paraId="4CB46311">
      <w:pPr>
        <w:pStyle w:val="33"/>
        <w:tabs>
          <w:tab w:val="right" w:leader="dot" w:pos="9638"/>
        </w:tabs>
      </w:pPr>
      <w:r>
        <w:rPr>
          <w:rFonts w:hint="eastAsia" w:ascii="宋体" w:hAnsi="宋体" w:cs="宋体"/>
          <w:bCs/>
          <w:caps/>
          <w:color w:val="auto"/>
          <w:szCs w:val="21"/>
          <w:highlight w:val="none"/>
        </w:rPr>
        <w:fldChar w:fldCharType="begin"/>
      </w:r>
      <w:r>
        <w:rPr>
          <w:rFonts w:hint="eastAsia" w:ascii="宋体" w:hAnsi="宋体" w:cs="宋体"/>
          <w:bCs/>
          <w:caps/>
          <w:szCs w:val="21"/>
          <w:highlight w:val="none"/>
        </w:rPr>
        <w:instrText xml:space="preserve"> HYPERLINK \l _Toc23216 </w:instrText>
      </w:r>
      <w:r>
        <w:rPr>
          <w:rFonts w:hint="eastAsia" w:ascii="宋体" w:hAnsi="宋体" w:cs="宋体"/>
          <w:bCs/>
          <w:caps/>
          <w:szCs w:val="21"/>
          <w:highlight w:val="none"/>
        </w:rPr>
        <w:fldChar w:fldCharType="separate"/>
      </w:r>
      <w:r>
        <w:rPr>
          <w:rFonts w:hint="eastAsia" w:ascii="宋体" w:hAnsi="宋体" w:eastAsia="宋体" w:cs="宋体"/>
          <w:szCs w:val="28"/>
          <w:highlight w:val="none"/>
        </w:rPr>
        <w:t>六、 中标和合同</w:t>
      </w:r>
      <w:r>
        <w:tab/>
      </w:r>
      <w:r>
        <w:fldChar w:fldCharType="begin"/>
      </w:r>
      <w:r>
        <w:instrText xml:space="preserve"> PAGEREF _Toc23216 \h </w:instrText>
      </w:r>
      <w:r>
        <w:fldChar w:fldCharType="separate"/>
      </w:r>
      <w:r>
        <w:t>20</w:t>
      </w:r>
      <w:r>
        <w:fldChar w:fldCharType="end"/>
      </w:r>
      <w:r>
        <w:rPr>
          <w:rFonts w:hint="eastAsia" w:ascii="宋体" w:hAnsi="宋体" w:cs="宋体"/>
          <w:bCs/>
          <w:caps/>
          <w:color w:val="auto"/>
          <w:szCs w:val="21"/>
          <w:highlight w:val="none"/>
        </w:rPr>
        <w:fldChar w:fldCharType="end"/>
      </w:r>
    </w:p>
    <w:p w14:paraId="1A1E7316">
      <w:pPr>
        <w:pStyle w:val="33"/>
        <w:tabs>
          <w:tab w:val="right" w:leader="dot" w:pos="9638"/>
        </w:tabs>
      </w:pPr>
      <w:r>
        <w:rPr>
          <w:rFonts w:hint="eastAsia" w:ascii="宋体" w:hAnsi="宋体" w:cs="宋体"/>
          <w:bCs/>
          <w:caps/>
          <w:color w:val="auto"/>
          <w:szCs w:val="21"/>
          <w:highlight w:val="none"/>
        </w:rPr>
        <w:fldChar w:fldCharType="begin"/>
      </w:r>
      <w:r>
        <w:rPr>
          <w:rFonts w:hint="eastAsia" w:ascii="宋体" w:hAnsi="宋体" w:cs="宋体"/>
          <w:bCs/>
          <w:caps/>
          <w:szCs w:val="21"/>
          <w:highlight w:val="none"/>
        </w:rPr>
        <w:instrText xml:space="preserve"> HYPERLINK \l _Toc470 </w:instrText>
      </w:r>
      <w:r>
        <w:rPr>
          <w:rFonts w:hint="eastAsia" w:ascii="宋体" w:hAnsi="宋体" w:cs="宋体"/>
          <w:bCs/>
          <w:caps/>
          <w:szCs w:val="21"/>
          <w:highlight w:val="none"/>
        </w:rPr>
        <w:fldChar w:fldCharType="separate"/>
      </w:r>
      <w:r>
        <w:rPr>
          <w:rFonts w:hint="eastAsia" w:ascii="宋体" w:hAnsi="宋体" w:eastAsia="宋体" w:cs="宋体"/>
          <w:szCs w:val="28"/>
          <w:highlight w:val="none"/>
        </w:rPr>
        <w:t>七、 可中止电子交易活动的情形</w:t>
      </w:r>
      <w:r>
        <w:tab/>
      </w:r>
      <w:r>
        <w:fldChar w:fldCharType="begin"/>
      </w:r>
      <w:r>
        <w:instrText xml:space="preserve"> PAGEREF _Toc470 \h </w:instrText>
      </w:r>
      <w:r>
        <w:fldChar w:fldCharType="separate"/>
      </w:r>
      <w:r>
        <w:t>21</w:t>
      </w:r>
      <w:r>
        <w:fldChar w:fldCharType="end"/>
      </w:r>
      <w:r>
        <w:rPr>
          <w:rFonts w:hint="eastAsia" w:ascii="宋体" w:hAnsi="宋体" w:cs="宋体"/>
          <w:bCs/>
          <w:caps/>
          <w:color w:val="auto"/>
          <w:szCs w:val="21"/>
          <w:highlight w:val="none"/>
        </w:rPr>
        <w:fldChar w:fldCharType="end"/>
      </w:r>
    </w:p>
    <w:p w14:paraId="77318CFE">
      <w:pPr>
        <w:pStyle w:val="33"/>
        <w:tabs>
          <w:tab w:val="right" w:leader="dot" w:pos="9638"/>
        </w:tabs>
      </w:pPr>
      <w:r>
        <w:rPr>
          <w:rFonts w:hint="eastAsia" w:ascii="宋体" w:hAnsi="宋体" w:cs="宋体"/>
          <w:bCs/>
          <w:caps/>
          <w:color w:val="auto"/>
          <w:szCs w:val="21"/>
          <w:highlight w:val="none"/>
        </w:rPr>
        <w:fldChar w:fldCharType="begin"/>
      </w:r>
      <w:r>
        <w:rPr>
          <w:rFonts w:hint="eastAsia" w:ascii="宋体" w:hAnsi="宋体" w:cs="宋体"/>
          <w:bCs/>
          <w:caps/>
          <w:szCs w:val="21"/>
          <w:highlight w:val="none"/>
        </w:rPr>
        <w:instrText xml:space="preserve"> HYPERLINK \l _Toc5509 </w:instrText>
      </w:r>
      <w:r>
        <w:rPr>
          <w:rFonts w:hint="eastAsia" w:ascii="宋体" w:hAnsi="宋体" w:cs="宋体"/>
          <w:bCs/>
          <w:caps/>
          <w:szCs w:val="21"/>
          <w:highlight w:val="none"/>
        </w:rPr>
        <w:fldChar w:fldCharType="separate"/>
      </w:r>
      <w:r>
        <w:rPr>
          <w:rFonts w:hint="eastAsia" w:ascii="宋体" w:hAnsi="宋体" w:eastAsia="宋体" w:cs="宋体"/>
          <w:szCs w:val="28"/>
        </w:rPr>
        <w:t xml:space="preserve">八、 </w:t>
      </w:r>
      <w:r>
        <w:rPr>
          <w:rFonts w:hint="eastAsia" w:ascii="宋体" w:hAnsi="宋体" w:eastAsia="宋体" w:cs="宋体"/>
          <w:szCs w:val="28"/>
          <w:highlight w:val="none"/>
        </w:rPr>
        <w:t>验  收</w:t>
      </w:r>
      <w:r>
        <w:tab/>
      </w:r>
      <w:r>
        <w:fldChar w:fldCharType="begin"/>
      </w:r>
      <w:r>
        <w:instrText xml:space="preserve"> PAGEREF _Toc5509 \h </w:instrText>
      </w:r>
      <w:r>
        <w:fldChar w:fldCharType="separate"/>
      </w:r>
      <w:r>
        <w:t>22</w:t>
      </w:r>
      <w:r>
        <w:fldChar w:fldCharType="end"/>
      </w:r>
      <w:r>
        <w:rPr>
          <w:rFonts w:hint="eastAsia" w:ascii="宋体" w:hAnsi="宋体" w:cs="宋体"/>
          <w:bCs/>
          <w:caps/>
          <w:color w:val="auto"/>
          <w:szCs w:val="21"/>
          <w:highlight w:val="none"/>
        </w:rPr>
        <w:fldChar w:fldCharType="end"/>
      </w:r>
    </w:p>
    <w:p w14:paraId="1BA3F5A1">
      <w:pPr>
        <w:pStyle w:val="30"/>
        <w:tabs>
          <w:tab w:val="right" w:leader="dot" w:pos="9638"/>
          <w:tab w:val="clear" w:pos="9628"/>
        </w:tabs>
      </w:pPr>
      <w:r>
        <w:rPr>
          <w:rFonts w:hint="eastAsia" w:ascii="宋体" w:hAnsi="宋体" w:cs="宋体"/>
          <w:bCs/>
          <w:caps/>
          <w:color w:val="auto"/>
          <w:szCs w:val="21"/>
          <w:highlight w:val="none"/>
        </w:rPr>
        <w:fldChar w:fldCharType="begin"/>
      </w:r>
      <w:r>
        <w:rPr>
          <w:rFonts w:hint="eastAsia" w:ascii="宋体" w:hAnsi="宋体" w:cs="宋体"/>
          <w:bCs/>
          <w:caps/>
          <w:szCs w:val="21"/>
          <w:highlight w:val="none"/>
        </w:rPr>
        <w:instrText xml:space="preserve"> HYPERLINK \l _Toc8833 </w:instrText>
      </w:r>
      <w:r>
        <w:rPr>
          <w:rFonts w:hint="eastAsia" w:ascii="宋体" w:hAnsi="宋体" w:cs="宋体"/>
          <w:bCs/>
          <w:caps/>
          <w:szCs w:val="21"/>
          <w:highlight w:val="none"/>
        </w:rPr>
        <w:fldChar w:fldCharType="separate"/>
      </w:r>
      <w:r>
        <w:rPr>
          <w:rFonts w:hint="eastAsia" w:ascii="黑体" w:hAnsi="黑体" w:eastAsia="黑体"/>
          <w:bCs/>
          <w:szCs w:val="36"/>
          <w:highlight w:val="none"/>
        </w:rPr>
        <w:t xml:space="preserve">第三部分 </w:t>
      </w:r>
      <w:r>
        <w:rPr>
          <w:rFonts w:ascii="黑体" w:hAnsi="黑体" w:eastAsia="黑体"/>
          <w:bCs/>
          <w:szCs w:val="36"/>
          <w:highlight w:val="none"/>
        </w:rPr>
        <w:t xml:space="preserve"> </w:t>
      </w:r>
      <w:r>
        <w:rPr>
          <w:rFonts w:hint="eastAsia" w:ascii="黑体" w:hAnsi="黑体" w:eastAsia="黑体"/>
          <w:szCs w:val="36"/>
          <w:highlight w:val="none"/>
        </w:rPr>
        <w:t>主要合同条款</w:t>
      </w:r>
      <w:r>
        <w:tab/>
      </w:r>
      <w:r>
        <w:fldChar w:fldCharType="begin"/>
      </w:r>
      <w:r>
        <w:instrText xml:space="preserve"> PAGEREF _Toc8833 \h </w:instrText>
      </w:r>
      <w:r>
        <w:fldChar w:fldCharType="separate"/>
      </w:r>
      <w:r>
        <w:t>23</w:t>
      </w:r>
      <w:r>
        <w:fldChar w:fldCharType="end"/>
      </w:r>
      <w:r>
        <w:rPr>
          <w:rFonts w:hint="eastAsia" w:ascii="宋体" w:hAnsi="宋体" w:cs="宋体"/>
          <w:bCs/>
          <w:caps/>
          <w:color w:val="auto"/>
          <w:szCs w:val="21"/>
          <w:highlight w:val="none"/>
        </w:rPr>
        <w:fldChar w:fldCharType="end"/>
      </w:r>
    </w:p>
    <w:p w14:paraId="4A146BB1">
      <w:pPr>
        <w:pStyle w:val="30"/>
        <w:tabs>
          <w:tab w:val="right" w:leader="dot" w:pos="9638"/>
          <w:tab w:val="clear" w:pos="9628"/>
        </w:tabs>
      </w:pPr>
      <w:r>
        <w:rPr>
          <w:rFonts w:hint="eastAsia" w:ascii="宋体" w:hAnsi="宋体" w:cs="宋体"/>
          <w:bCs/>
          <w:caps/>
          <w:color w:val="auto"/>
          <w:szCs w:val="21"/>
          <w:highlight w:val="none"/>
        </w:rPr>
        <w:fldChar w:fldCharType="begin"/>
      </w:r>
      <w:r>
        <w:rPr>
          <w:rFonts w:hint="eastAsia" w:ascii="宋体" w:hAnsi="宋体" w:cs="宋体"/>
          <w:bCs/>
          <w:caps/>
          <w:szCs w:val="21"/>
          <w:highlight w:val="none"/>
        </w:rPr>
        <w:instrText xml:space="preserve"> HYPERLINK \l _Toc14624 </w:instrText>
      </w:r>
      <w:r>
        <w:rPr>
          <w:rFonts w:hint="eastAsia" w:ascii="宋体" w:hAnsi="宋体" w:cs="宋体"/>
          <w:bCs/>
          <w:caps/>
          <w:szCs w:val="21"/>
          <w:highlight w:val="none"/>
        </w:rPr>
        <w:fldChar w:fldCharType="separate"/>
      </w:r>
      <w:r>
        <w:rPr>
          <w:rFonts w:hint="eastAsia" w:ascii="黑体" w:hAnsi="黑体" w:eastAsia="黑体"/>
          <w:bCs/>
          <w:kern w:val="44"/>
          <w:szCs w:val="36"/>
          <w:highlight w:val="none"/>
        </w:rPr>
        <w:t>第四部分  附   件</w:t>
      </w:r>
      <w:r>
        <w:tab/>
      </w:r>
      <w:r>
        <w:fldChar w:fldCharType="begin"/>
      </w:r>
      <w:r>
        <w:instrText xml:space="preserve"> PAGEREF _Toc14624 \h </w:instrText>
      </w:r>
      <w:r>
        <w:fldChar w:fldCharType="separate"/>
      </w:r>
      <w:r>
        <w:t>33</w:t>
      </w:r>
      <w:r>
        <w:fldChar w:fldCharType="end"/>
      </w:r>
      <w:r>
        <w:rPr>
          <w:rFonts w:hint="eastAsia" w:ascii="宋体" w:hAnsi="宋体" w:cs="宋体"/>
          <w:bCs/>
          <w:caps/>
          <w:color w:val="auto"/>
          <w:szCs w:val="21"/>
          <w:highlight w:val="none"/>
        </w:rPr>
        <w:fldChar w:fldCharType="end"/>
      </w:r>
    </w:p>
    <w:p w14:paraId="4BD89F88">
      <w:pPr>
        <w:pStyle w:val="33"/>
        <w:tabs>
          <w:tab w:val="right" w:leader="dot" w:pos="9638"/>
        </w:tabs>
      </w:pPr>
      <w:r>
        <w:rPr>
          <w:rFonts w:hint="eastAsia" w:ascii="宋体" w:hAnsi="宋体" w:cs="宋体"/>
          <w:bCs/>
          <w:caps/>
          <w:color w:val="auto"/>
          <w:szCs w:val="21"/>
          <w:highlight w:val="none"/>
        </w:rPr>
        <w:fldChar w:fldCharType="begin"/>
      </w:r>
      <w:r>
        <w:rPr>
          <w:rFonts w:hint="eastAsia" w:ascii="宋体" w:hAnsi="宋体" w:cs="宋体"/>
          <w:bCs/>
          <w:caps/>
          <w:szCs w:val="21"/>
          <w:highlight w:val="none"/>
        </w:rPr>
        <w:instrText xml:space="preserve"> HYPERLINK \l _Toc15226 </w:instrText>
      </w:r>
      <w:r>
        <w:rPr>
          <w:rFonts w:hint="eastAsia" w:ascii="宋体" w:hAnsi="宋体" w:cs="宋体"/>
          <w:bCs/>
          <w:caps/>
          <w:szCs w:val="21"/>
          <w:highlight w:val="none"/>
        </w:rPr>
        <w:fldChar w:fldCharType="separate"/>
      </w:r>
      <w:r>
        <w:rPr>
          <w:rFonts w:hint="eastAsia" w:ascii="宋体" w:hAnsi="宋体" w:eastAsia="宋体" w:cs="宋体"/>
          <w:szCs w:val="24"/>
          <w:highlight w:val="none"/>
        </w:rPr>
        <w:t>附件一 投标函</w:t>
      </w:r>
      <w:r>
        <w:tab/>
      </w:r>
      <w:r>
        <w:fldChar w:fldCharType="begin"/>
      </w:r>
      <w:r>
        <w:instrText xml:space="preserve"> PAGEREF _Toc15226 \h </w:instrText>
      </w:r>
      <w:r>
        <w:fldChar w:fldCharType="separate"/>
      </w:r>
      <w:r>
        <w:t>33</w:t>
      </w:r>
      <w:r>
        <w:fldChar w:fldCharType="end"/>
      </w:r>
      <w:r>
        <w:rPr>
          <w:rFonts w:hint="eastAsia" w:ascii="宋体" w:hAnsi="宋体" w:cs="宋体"/>
          <w:bCs/>
          <w:caps/>
          <w:color w:val="auto"/>
          <w:szCs w:val="21"/>
          <w:highlight w:val="none"/>
        </w:rPr>
        <w:fldChar w:fldCharType="end"/>
      </w:r>
    </w:p>
    <w:p w14:paraId="6FA39541">
      <w:pPr>
        <w:pStyle w:val="33"/>
        <w:tabs>
          <w:tab w:val="right" w:leader="dot" w:pos="9638"/>
        </w:tabs>
      </w:pPr>
      <w:r>
        <w:rPr>
          <w:rFonts w:hint="eastAsia" w:ascii="宋体" w:hAnsi="宋体" w:cs="宋体"/>
          <w:bCs/>
          <w:caps/>
          <w:color w:val="auto"/>
          <w:szCs w:val="21"/>
          <w:highlight w:val="none"/>
        </w:rPr>
        <w:fldChar w:fldCharType="begin"/>
      </w:r>
      <w:r>
        <w:rPr>
          <w:rFonts w:hint="eastAsia" w:ascii="宋体" w:hAnsi="宋体" w:cs="宋体"/>
          <w:bCs/>
          <w:caps/>
          <w:szCs w:val="21"/>
          <w:highlight w:val="none"/>
        </w:rPr>
        <w:instrText xml:space="preserve"> HYPERLINK \l _Toc9464 </w:instrText>
      </w:r>
      <w:r>
        <w:rPr>
          <w:rFonts w:hint="eastAsia" w:ascii="宋体" w:hAnsi="宋体" w:cs="宋体"/>
          <w:bCs/>
          <w:caps/>
          <w:szCs w:val="21"/>
          <w:highlight w:val="none"/>
        </w:rPr>
        <w:fldChar w:fldCharType="separate"/>
      </w:r>
      <w:r>
        <w:rPr>
          <w:rFonts w:hint="eastAsia" w:ascii="宋体" w:hAnsi="宋体" w:eastAsia="宋体" w:cs="宋体"/>
          <w:szCs w:val="24"/>
          <w:highlight w:val="none"/>
        </w:rPr>
        <w:t>附件二 投标报价一览表</w:t>
      </w:r>
      <w:r>
        <w:tab/>
      </w:r>
      <w:r>
        <w:fldChar w:fldCharType="begin"/>
      </w:r>
      <w:r>
        <w:instrText xml:space="preserve"> PAGEREF _Toc9464 \h </w:instrText>
      </w:r>
      <w:r>
        <w:fldChar w:fldCharType="separate"/>
      </w:r>
      <w:r>
        <w:t>34</w:t>
      </w:r>
      <w:r>
        <w:fldChar w:fldCharType="end"/>
      </w:r>
      <w:r>
        <w:rPr>
          <w:rFonts w:hint="eastAsia" w:ascii="宋体" w:hAnsi="宋体" w:cs="宋体"/>
          <w:bCs/>
          <w:caps/>
          <w:color w:val="auto"/>
          <w:szCs w:val="21"/>
          <w:highlight w:val="none"/>
        </w:rPr>
        <w:fldChar w:fldCharType="end"/>
      </w:r>
    </w:p>
    <w:p w14:paraId="1DB367FA">
      <w:pPr>
        <w:pStyle w:val="33"/>
        <w:tabs>
          <w:tab w:val="right" w:leader="dot" w:pos="9638"/>
        </w:tabs>
      </w:pPr>
      <w:r>
        <w:rPr>
          <w:rFonts w:hint="eastAsia" w:ascii="宋体" w:hAnsi="宋体" w:cs="宋体"/>
          <w:bCs/>
          <w:caps/>
          <w:color w:val="auto"/>
          <w:szCs w:val="21"/>
          <w:highlight w:val="none"/>
        </w:rPr>
        <w:fldChar w:fldCharType="begin"/>
      </w:r>
      <w:r>
        <w:rPr>
          <w:rFonts w:hint="eastAsia" w:ascii="宋体" w:hAnsi="宋体" w:cs="宋体"/>
          <w:bCs/>
          <w:caps/>
          <w:szCs w:val="21"/>
          <w:highlight w:val="none"/>
        </w:rPr>
        <w:instrText xml:space="preserve"> HYPERLINK \l _Toc3405 </w:instrText>
      </w:r>
      <w:r>
        <w:rPr>
          <w:rFonts w:hint="eastAsia" w:ascii="宋体" w:hAnsi="宋体" w:cs="宋体"/>
          <w:bCs/>
          <w:caps/>
          <w:szCs w:val="21"/>
          <w:highlight w:val="none"/>
        </w:rPr>
        <w:fldChar w:fldCharType="separate"/>
      </w:r>
      <w:r>
        <w:rPr>
          <w:rFonts w:hint="eastAsia" w:ascii="宋体" w:hAnsi="宋体" w:eastAsia="宋体"/>
          <w:szCs w:val="24"/>
          <w:highlight w:val="none"/>
        </w:rPr>
        <w:t>附件三 投标分项报价表</w:t>
      </w:r>
      <w:r>
        <w:tab/>
      </w:r>
      <w:r>
        <w:fldChar w:fldCharType="begin"/>
      </w:r>
      <w:r>
        <w:instrText xml:space="preserve"> PAGEREF _Toc3405 \h </w:instrText>
      </w:r>
      <w:r>
        <w:fldChar w:fldCharType="separate"/>
      </w:r>
      <w:r>
        <w:t>35</w:t>
      </w:r>
      <w:r>
        <w:fldChar w:fldCharType="end"/>
      </w:r>
      <w:r>
        <w:rPr>
          <w:rFonts w:hint="eastAsia" w:ascii="宋体" w:hAnsi="宋体" w:cs="宋体"/>
          <w:bCs/>
          <w:caps/>
          <w:color w:val="auto"/>
          <w:szCs w:val="21"/>
          <w:highlight w:val="none"/>
        </w:rPr>
        <w:fldChar w:fldCharType="end"/>
      </w:r>
    </w:p>
    <w:p w14:paraId="0000D501">
      <w:pPr>
        <w:pStyle w:val="33"/>
        <w:tabs>
          <w:tab w:val="right" w:leader="dot" w:pos="9638"/>
        </w:tabs>
      </w:pPr>
      <w:r>
        <w:rPr>
          <w:rFonts w:hint="eastAsia" w:ascii="宋体" w:hAnsi="宋体" w:cs="宋体"/>
          <w:bCs/>
          <w:caps/>
          <w:color w:val="auto"/>
          <w:szCs w:val="21"/>
          <w:highlight w:val="none"/>
        </w:rPr>
        <w:fldChar w:fldCharType="begin"/>
      </w:r>
      <w:r>
        <w:rPr>
          <w:rFonts w:hint="eastAsia" w:ascii="宋体" w:hAnsi="宋体" w:cs="宋体"/>
          <w:bCs/>
          <w:caps/>
          <w:szCs w:val="21"/>
          <w:highlight w:val="none"/>
        </w:rPr>
        <w:instrText xml:space="preserve"> HYPERLINK \l _Toc17040 </w:instrText>
      </w:r>
      <w:r>
        <w:rPr>
          <w:rFonts w:hint="eastAsia" w:ascii="宋体" w:hAnsi="宋体" w:cs="宋体"/>
          <w:bCs/>
          <w:caps/>
          <w:szCs w:val="21"/>
          <w:highlight w:val="none"/>
        </w:rPr>
        <w:fldChar w:fldCharType="separate"/>
      </w:r>
      <w:r>
        <w:rPr>
          <w:rFonts w:hint="eastAsia" w:ascii="宋体" w:hAnsi="宋体" w:eastAsia="宋体"/>
          <w:szCs w:val="24"/>
          <w:highlight w:val="none"/>
        </w:rPr>
        <w:t>附件四 资格证明文件</w:t>
      </w:r>
      <w:r>
        <w:tab/>
      </w:r>
      <w:r>
        <w:fldChar w:fldCharType="begin"/>
      </w:r>
      <w:r>
        <w:instrText xml:space="preserve"> PAGEREF _Toc17040 \h </w:instrText>
      </w:r>
      <w:r>
        <w:fldChar w:fldCharType="separate"/>
      </w:r>
      <w:r>
        <w:t>36</w:t>
      </w:r>
      <w:r>
        <w:fldChar w:fldCharType="end"/>
      </w:r>
      <w:r>
        <w:rPr>
          <w:rFonts w:hint="eastAsia" w:ascii="宋体" w:hAnsi="宋体" w:cs="宋体"/>
          <w:bCs/>
          <w:caps/>
          <w:color w:val="auto"/>
          <w:szCs w:val="21"/>
          <w:highlight w:val="none"/>
        </w:rPr>
        <w:fldChar w:fldCharType="end"/>
      </w:r>
    </w:p>
    <w:p w14:paraId="33B24767">
      <w:pPr>
        <w:pStyle w:val="33"/>
        <w:tabs>
          <w:tab w:val="right" w:leader="dot" w:pos="9638"/>
        </w:tabs>
      </w:pPr>
      <w:r>
        <w:rPr>
          <w:rFonts w:hint="eastAsia" w:ascii="宋体" w:hAnsi="宋体" w:cs="宋体"/>
          <w:bCs/>
          <w:caps/>
          <w:color w:val="auto"/>
          <w:szCs w:val="21"/>
          <w:highlight w:val="none"/>
        </w:rPr>
        <w:fldChar w:fldCharType="begin"/>
      </w:r>
      <w:r>
        <w:rPr>
          <w:rFonts w:hint="eastAsia" w:ascii="宋体" w:hAnsi="宋体" w:cs="宋体"/>
          <w:bCs/>
          <w:caps/>
          <w:szCs w:val="21"/>
          <w:highlight w:val="none"/>
        </w:rPr>
        <w:instrText xml:space="preserve"> HYPERLINK \l _Toc497 </w:instrText>
      </w:r>
      <w:r>
        <w:rPr>
          <w:rFonts w:hint="eastAsia" w:ascii="宋体" w:hAnsi="宋体" w:cs="宋体"/>
          <w:bCs/>
          <w:caps/>
          <w:szCs w:val="21"/>
          <w:highlight w:val="none"/>
        </w:rPr>
        <w:fldChar w:fldCharType="separate"/>
      </w:r>
      <w:r>
        <w:rPr>
          <w:rFonts w:hint="eastAsia" w:ascii="宋体" w:hAnsi="宋体" w:eastAsia="宋体" w:cs="宋体"/>
          <w:szCs w:val="24"/>
          <w:highlight w:val="none"/>
        </w:rPr>
        <w:t>附件五 商务条款、技术规格偏离表</w:t>
      </w:r>
      <w:r>
        <w:tab/>
      </w:r>
      <w:r>
        <w:fldChar w:fldCharType="begin"/>
      </w:r>
      <w:r>
        <w:instrText xml:space="preserve"> PAGEREF _Toc497 \h </w:instrText>
      </w:r>
      <w:r>
        <w:fldChar w:fldCharType="separate"/>
      </w:r>
      <w:r>
        <w:t>41</w:t>
      </w:r>
      <w:r>
        <w:fldChar w:fldCharType="end"/>
      </w:r>
      <w:r>
        <w:rPr>
          <w:rFonts w:hint="eastAsia" w:ascii="宋体" w:hAnsi="宋体" w:cs="宋体"/>
          <w:bCs/>
          <w:caps/>
          <w:color w:val="auto"/>
          <w:szCs w:val="21"/>
          <w:highlight w:val="none"/>
        </w:rPr>
        <w:fldChar w:fldCharType="end"/>
      </w:r>
    </w:p>
    <w:p w14:paraId="4675BD70">
      <w:pPr>
        <w:pStyle w:val="33"/>
        <w:tabs>
          <w:tab w:val="right" w:leader="dot" w:pos="9638"/>
        </w:tabs>
      </w:pPr>
      <w:r>
        <w:rPr>
          <w:rFonts w:hint="eastAsia" w:ascii="宋体" w:hAnsi="宋体" w:cs="宋体"/>
          <w:bCs/>
          <w:caps/>
          <w:color w:val="auto"/>
          <w:szCs w:val="21"/>
          <w:highlight w:val="none"/>
        </w:rPr>
        <w:fldChar w:fldCharType="begin"/>
      </w:r>
      <w:r>
        <w:rPr>
          <w:rFonts w:hint="eastAsia" w:ascii="宋体" w:hAnsi="宋体" w:cs="宋体"/>
          <w:bCs/>
          <w:caps/>
          <w:szCs w:val="21"/>
          <w:highlight w:val="none"/>
        </w:rPr>
        <w:instrText xml:space="preserve"> HYPERLINK \l _Toc26750 </w:instrText>
      </w:r>
      <w:r>
        <w:rPr>
          <w:rFonts w:hint="eastAsia" w:ascii="宋体" w:hAnsi="宋体" w:cs="宋体"/>
          <w:bCs/>
          <w:caps/>
          <w:szCs w:val="21"/>
          <w:highlight w:val="none"/>
        </w:rPr>
        <w:fldChar w:fldCharType="separate"/>
      </w:r>
      <w:r>
        <w:rPr>
          <w:rFonts w:hint="eastAsia" w:ascii="宋体" w:hAnsi="宋体" w:eastAsia="宋体" w:cs="宋体"/>
          <w:szCs w:val="24"/>
          <w:highlight w:val="none"/>
        </w:rPr>
        <w:t>附件</w:t>
      </w:r>
      <w:r>
        <w:rPr>
          <w:rFonts w:hint="eastAsia" w:ascii="宋体" w:hAnsi="宋体" w:eastAsia="宋体" w:cs="宋体"/>
          <w:szCs w:val="24"/>
          <w:highlight w:val="none"/>
          <w:lang w:val="en-US" w:eastAsia="zh-CN"/>
        </w:rPr>
        <w:t>六</w:t>
      </w:r>
      <w:r>
        <w:rPr>
          <w:rFonts w:hint="eastAsia" w:ascii="宋体" w:hAnsi="宋体" w:eastAsia="宋体" w:cs="宋体"/>
          <w:szCs w:val="24"/>
          <w:highlight w:val="none"/>
        </w:rPr>
        <w:t xml:space="preserve"> 同类项目业绩一览表</w:t>
      </w:r>
      <w:r>
        <w:tab/>
      </w:r>
      <w:r>
        <w:fldChar w:fldCharType="begin"/>
      </w:r>
      <w:r>
        <w:instrText xml:space="preserve"> PAGEREF _Toc26750 \h </w:instrText>
      </w:r>
      <w:r>
        <w:fldChar w:fldCharType="separate"/>
      </w:r>
      <w:r>
        <w:t>42</w:t>
      </w:r>
      <w:r>
        <w:fldChar w:fldCharType="end"/>
      </w:r>
      <w:r>
        <w:rPr>
          <w:rFonts w:hint="eastAsia" w:ascii="宋体" w:hAnsi="宋体" w:cs="宋体"/>
          <w:bCs/>
          <w:caps/>
          <w:color w:val="auto"/>
          <w:szCs w:val="21"/>
          <w:highlight w:val="none"/>
        </w:rPr>
        <w:fldChar w:fldCharType="end"/>
      </w:r>
    </w:p>
    <w:p w14:paraId="4BF4D7BA">
      <w:pPr>
        <w:pStyle w:val="33"/>
        <w:tabs>
          <w:tab w:val="right" w:leader="dot" w:pos="9638"/>
        </w:tabs>
      </w:pPr>
      <w:r>
        <w:rPr>
          <w:rFonts w:hint="eastAsia" w:ascii="宋体" w:hAnsi="宋体" w:cs="宋体"/>
          <w:bCs/>
          <w:caps/>
          <w:color w:val="auto"/>
          <w:szCs w:val="21"/>
          <w:highlight w:val="none"/>
        </w:rPr>
        <w:fldChar w:fldCharType="begin"/>
      </w:r>
      <w:r>
        <w:rPr>
          <w:rFonts w:hint="eastAsia" w:ascii="宋体" w:hAnsi="宋体" w:cs="宋体"/>
          <w:bCs/>
          <w:caps/>
          <w:szCs w:val="21"/>
          <w:highlight w:val="none"/>
        </w:rPr>
        <w:instrText xml:space="preserve"> HYPERLINK \l _Toc16440 </w:instrText>
      </w:r>
      <w:r>
        <w:rPr>
          <w:rFonts w:hint="eastAsia" w:ascii="宋体" w:hAnsi="宋体" w:cs="宋体"/>
          <w:bCs/>
          <w:caps/>
          <w:szCs w:val="21"/>
          <w:highlight w:val="none"/>
        </w:rPr>
        <w:fldChar w:fldCharType="separate"/>
      </w:r>
      <w:r>
        <w:rPr>
          <w:rFonts w:ascii="宋体" w:hAnsi="宋体" w:eastAsia="宋体"/>
          <w:szCs w:val="24"/>
          <w:highlight w:val="none"/>
        </w:rPr>
        <w:t>附件</w:t>
      </w:r>
      <w:r>
        <w:rPr>
          <w:rFonts w:hint="eastAsia" w:ascii="宋体" w:hAnsi="宋体" w:eastAsia="宋体"/>
          <w:szCs w:val="24"/>
          <w:highlight w:val="none"/>
          <w:lang w:val="en-US" w:eastAsia="zh-CN"/>
        </w:rPr>
        <w:t>七</w:t>
      </w:r>
      <w:r>
        <w:rPr>
          <w:rFonts w:hint="eastAsia" w:ascii="宋体" w:hAnsi="宋体" w:eastAsia="宋体"/>
          <w:szCs w:val="24"/>
          <w:highlight w:val="none"/>
        </w:rPr>
        <w:t xml:space="preserve"> 政府采购政策功能相关说明</w:t>
      </w:r>
      <w:r>
        <w:tab/>
      </w:r>
      <w:r>
        <w:fldChar w:fldCharType="begin"/>
      </w:r>
      <w:r>
        <w:instrText xml:space="preserve"> PAGEREF _Toc16440 \h </w:instrText>
      </w:r>
      <w:r>
        <w:fldChar w:fldCharType="separate"/>
      </w:r>
      <w:r>
        <w:t>43</w:t>
      </w:r>
      <w:r>
        <w:fldChar w:fldCharType="end"/>
      </w:r>
      <w:r>
        <w:rPr>
          <w:rFonts w:hint="eastAsia" w:ascii="宋体" w:hAnsi="宋体" w:cs="宋体"/>
          <w:bCs/>
          <w:caps/>
          <w:color w:val="auto"/>
          <w:szCs w:val="21"/>
          <w:highlight w:val="none"/>
        </w:rPr>
        <w:fldChar w:fldCharType="end"/>
      </w:r>
    </w:p>
    <w:p w14:paraId="3297F349">
      <w:pPr>
        <w:pStyle w:val="30"/>
        <w:tabs>
          <w:tab w:val="right" w:leader="dot" w:pos="9638"/>
          <w:tab w:val="clear" w:pos="9628"/>
        </w:tabs>
      </w:pPr>
      <w:r>
        <w:rPr>
          <w:rFonts w:hint="eastAsia" w:ascii="宋体" w:hAnsi="宋体" w:cs="宋体"/>
          <w:bCs/>
          <w:caps/>
          <w:color w:val="auto"/>
          <w:szCs w:val="21"/>
          <w:highlight w:val="none"/>
        </w:rPr>
        <w:fldChar w:fldCharType="begin"/>
      </w:r>
      <w:r>
        <w:rPr>
          <w:rFonts w:hint="eastAsia" w:ascii="宋体" w:hAnsi="宋体" w:cs="宋体"/>
          <w:bCs/>
          <w:caps/>
          <w:szCs w:val="21"/>
          <w:highlight w:val="none"/>
        </w:rPr>
        <w:instrText xml:space="preserve"> HYPERLINK \l _Toc27287 </w:instrText>
      </w:r>
      <w:r>
        <w:rPr>
          <w:rFonts w:hint="eastAsia" w:ascii="宋体" w:hAnsi="宋体" w:cs="宋体"/>
          <w:bCs/>
          <w:caps/>
          <w:szCs w:val="21"/>
          <w:highlight w:val="none"/>
        </w:rPr>
        <w:fldChar w:fldCharType="separate"/>
      </w:r>
      <w:r>
        <w:rPr>
          <w:rFonts w:hint="eastAsia" w:ascii="黑体" w:hAnsi="黑体" w:eastAsia="黑体"/>
          <w:bCs/>
          <w:szCs w:val="36"/>
          <w:highlight w:val="none"/>
        </w:rPr>
        <w:t>第五部分  招标内容及要求</w:t>
      </w:r>
      <w:r>
        <w:tab/>
      </w:r>
      <w:r>
        <w:fldChar w:fldCharType="begin"/>
      </w:r>
      <w:r>
        <w:instrText xml:space="preserve"> PAGEREF _Toc27287 \h </w:instrText>
      </w:r>
      <w:r>
        <w:fldChar w:fldCharType="separate"/>
      </w:r>
      <w:r>
        <w:t>46</w:t>
      </w:r>
      <w:r>
        <w:fldChar w:fldCharType="end"/>
      </w:r>
      <w:r>
        <w:rPr>
          <w:rFonts w:hint="eastAsia" w:ascii="宋体" w:hAnsi="宋体" w:cs="宋体"/>
          <w:bCs/>
          <w:caps/>
          <w:color w:val="auto"/>
          <w:szCs w:val="21"/>
          <w:highlight w:val="none"/>
        </w:rPr>
        <w:fldChar w:fldCharType="end"/>
      </w:r>
    </w:p>
    <w:p w14:paraId="7BC06515">
      <w:pPr>
        <w:pStyle w:val="33"/>
        <w:tabs>
          <w:tab w:val="right" w:leader="dot" w:pos="9638"/>
        </w:tabs>
      </w:pPr>
      <w:r>
        <w:rPr>
          <w:rFonts w:hint="eastAsia" w:ascii="宋体" w:hAnsi="宋体" w:cs="宋体"/>
          <w:bCs/>
          <w:caps/>
          <w:color w:val="auto"/>
          <w:szCs w:val="21"/>
          <w:highlight w:val="none"/>
        </w:rPr>
        <w:fldChar w:fldCharType="begin"/>
      </w:r>
      <w:r>
        <w:rPr>
          <w:rFonts w:hint="eastAsia" w:ascii="宋体" w:hAnsi="宋体" w:cs="宋体"/>
          <w:bCs/>
          <w:caps/>
          <w:szCs w:val="21"/>
          <w:highlight w:val="none"/>
        </w:rPr>
        <w:instrText xml:space="preserve"> HYPERLINK \l _Toc7107 </w:instrText>
      </w:r>
      <w:r>
        <w:rPr>
          <w:rFonts w:hint="eastAsia" w:ascii="宋体" w:hAnsi="宋体" w:cs="宋体"/>
          <w:bCs/>
          <w:caps/>
          <w:szCs w:val="21"/>
          <w:highlight w:val="none"/>
        </w:rPr>
        <w:fldChar w:fldCharType="separate"/>
      </w:r>
      <w:r>
        <w:rPr>
          <w:rFonts w:hint="eastAsia" w:ascii="宋体" w:hAnsi="宋体" w:eastAsia="宋体"/>
          <w:szCs w:val="28"/>
          <w:highlight w:val="none"/>
        </w:rPr>
        <w:t>一、相关说明</w:t>
      </w:r>
      <w:r>
        <w:tab/>
      </w:r>
      <w:r>
        <w:fldChar w:fldCharType="begin"/>
      </w:r>
      <w:r>
        <w:instrText xml:space="preserve"> PAGEREF _Toc7107 \h </w:instrText>
      </w:r>
      <w:r>
        <w:fldChar w:fldCharType="separate"/>
      </w:r>
      <w:r>
        <w:t>46</w:t>
      </w:r>
      <w:r>
        <w:fldChar w:fldCharType="end"/>
      </w:r>
      <w:r>
        <w:rPr>
          <w:rFonts w:hint="eastAsia" w:ascii="宋体" w:hAnsi="宋体" w:cs="宋体"/>
          <w:bCs/>
          <w:caps/>
          <w:color w:val="auto"/>
          <w:szCs w:val="21"/>
          <w:highlight w:val="none"/>
        </w:rPr>
        <w:fldChar w:fldCharType="end"/>
      </w:r>
    </w:p>
    <w:p w14:paraId="75D21029">
      <w:pPr>
        <w:pStyle w:val="33"/>
        <w:tabs>
          <w:tab w:val="right" w:leader="dot" w:pos="9638"/>
        </w:tabs>
      </w:pPr>
      <w:r>
        <w:rPr>
          <w:rFonts w:hint="eastAsia" w:ascii="宋体" w:hAnsi="宋体" w:cs="宋体"/>
          <w:bCs/>
          <w:caps/>
          <w:color w:val="auto"/>
          <w:szCs w:val="21"/>
          <w:highlight w:val="none"/>
        </w:rPr>
        <w:fldChar w:fldCharType="begin"/>
      </w:r>
      <w:r>
        <w:rPr>
          <w:rFonts w:hint="eastAsia" w:ascii="宋体" w:hAnsi="宋体" w:cs="宋体"/>
          <w:bCs/>
          <w:caps/>
          <w:szCs w:val="21"/>
          <w:highlight w:val="none"/>
        </w:rPr>
        <w:instrText xml:space="preserve"> HYPERLINK \l _Toc26768 </w:instrText>
      </w:r>
      <w:r>
        <w:rPr>
          <w:rFonts w:hint="eastAsia" w:ascii="宋体" w:hAnsi="宋体" w:cs="宋体"/>
          <w:bCs/>
          <w:caps/>
          <w:szCs w:val="21"/>
          <w:highlight w:val="none"/>
        </w:rPr>
        <w:fldChar w:fldCharType="separate"/>
      </w:r>
      <w:r>
        <w:rPr>
          <w:rFonts w:hint="eastAsia" w:ascii="宋体" w:hAnsi="宋体" w:cs="宋体"/>
          <w:szCs w:val="28"/>
          <w:highlight w:val="none"/>
        </w:rPr>
        <w:t>二、</w:t>
      </w:r>
      <w:r>
        <w:rPr>
          <w:rFonts w:hint="eastAsia" w:ascii="宋体" w:hAnsi="宋体" w:eastAsia="宋体"/>
          <w:szCs w:val="28"/>
          <w:highlight w:val="none"/>
        </w:rPr>
        <w:t>采购内容及要求</w:t>
      </w:r>
      <w:r>
        <w:tab/>
      </w:r>
      <w:r>
        <w:fldChar w:fldCharType="begin"/>
      </w:r>
      <w:r>
        <w:instrText xml:space="preserve"> PAGEREF _Toc26768 \h </w:instrText>
      </w:r>
      <w:r>
        <w:fldChar w:fldCharType="separate"/>
      </w:r>
      <w:r>
        <w:t>46</w:t>
      </w:r>
      <w:r>
        <w:fldChar w:fldCharType="end"/>
      </w:r>
      <w:r>
        <w:rPr>
          <w:rFonts w:hint="eastAsia" w:ascii="宋体" w:hAnsi="宋体" w:cs="宋体"/>
          <w:bCs/>
          <w:caps/>
          <w:color w:val="auto"/>
          <w:szCs w:val="21"/>
          <w:highlight w:val="none"/>
        </w:rPr>
        <w:fldChar w:fldCharType="end"/>
      </w:r>
    </w:p>
    <w:p w14:paraId="0A4883AD">
      <w:pPr>
        <w:pStyle w:val="30"/>
        <w:tabs>
          <w:tab w:val="right" w:leader="dot" w:pos="9638"/>
          <w:tab w:val="clear" w:pos="9628"/>
        </w:tabs>
      </w:pPr>
      <w:r>
        <w:rPr>
          <w:rFonts w:hint="eastAsia" w:ascii="宋体" w:hAnsi="宋体" w:cs="宋体"/>
          <w:bCs/>
          <w:caps/>
          <w:color w:val="auto"/>
          <w:szCs w:val="21"/>
          <w:highlight w:val="none"/>
        </w:rPr>
        <w:fldChar w:fldCharType="begin"/>
      </w:r>
      <w:r>
        <w:rPr>
          <w:rFonts w:hint="eastAsia" w:ascii="宋体" w:hAnsi="宋体" w:cs="宋体"/>
          <w:bCs/>
          <w:caps/>
          <w:szCs w:val="21"/>
          <w:highlight w:val="none"/>
        </w:rPr>
        <w:instrText xml:space="preserve"> HYPERLINK \l _Toc19880 </w:instrText>
      </w:r>
      <w:r>
        <w:rPr>
          <w:rFonts w:hint="eastAsia" w:ascii="宋体" w:hAnsi="宋体" w:cs="宋体"/>
          <w:bCs/>
          <w:caps/>
          <w:szCs w:val="21"/>
          <w:highlight w:val="none"/>
        </w:rPr>
        <w:fldChar w:fldCharType="separate"/>
      </w:r>
      <w:r>
        <w:rPr>
          <w:rFonts w:hint="eastAsia" w:ascii="黑体" w:hAnsi="黑体" w:eastAsia="黑体"/>
          <w:bCs/>
          <w:szCs w:val="36"/>
          <w:highlight w:val="none"/>
        </w:rPr>
        <w:t>第六部分  评标原则及方法</w:t>
      </w:r>
      <w:r>
        <w:tab/>
      </w:r>
      <w:r>
        <w:fldChar w:fldCharType="begin"/>
      </w:r>
      <w:r>
        <w:instrText xml:space="preserve"> PAGEREF _Toc19880 \h </w:instrText>
      </w:r>
      <w:r>
        <w:fldChar w:fldCharType="separate"/>
      </w:r>
      <w:r>
        <w:t>50</w:t>
      </w:r>
      <w:r>
        <w:fldChar w:fldCharType="end"/>
      </w:r>
      <w:r>
        <w:rPr>
          <w:rFonts w:hint="eastAsia" w:ascii="宋体" w:hAnsi="宋体" w:cs="宋体"/>
          <w:bCs/>
          <w:caps/>
          <w:color w:val="auto"/>
          <w:szCs w:val="21"/>
          <w:highlight w:val="none"/>
        </w:rPr>
        <w:fldChar w:fldCharType="end"/>
      </w:r>
    </w:p>
    <w:p w14:paraId="242F6112">
      <w:pPr>
        <w:ind w:right="110"/>
        <w:rPr>
          <w:rFonts w:ascii="宋体" w:hAnsi="宋体" w:cs="宋体"/>
          <w:bCs/>
          <w:caps/>
          <w:color w:val="auto"/>
          <w:szCs w:val="21"/>
          <w:highlight w:val="none"/>
        </w:rPr>
      </w:pPr>
      <w:r>
        <w:rPr>
          <w:rFonts w:hint="eastAsia" w:ascii="宋体" w:hAnsi="宋体" w:cs="宋体"/>
          <w:bCs/>
          <w:caps/>
          <w:color w:val="auto"/>
          <w:szCs w:val="21"/>
          <w:highlight w:val="none"/>
        </w:rPr>
        <w:fldChar w:fldCharType="end"/>
      </w:r>
    </w:p>
    <w:p w14:paraId="353C4168">
      <w:pPr>
        <w:spacing w:line="360" w:lineRule="exact"/>
        <w:ind w:right="110"/>
        <w:rPr>
          <w:rFonts w:ascii="宋体" w:hAnsi="宋体" w:cs="宋体"/>
          <w:b/>
          <w:color w:val="auto"/>
          <w:sz w:val="22"/>
          <w:szCs w:val="22"/>
          <w:highlight w:val="none"/>
          <w:u w:val="single"/>
        </w:rPr>
      </w:pPr>
      <w:r>
        <w:rPr>
          <w:rFonts w:hint="eastAsia" w:ascii="宋体" w:hAnsi="宋体" w:cs="宋体"/>
          <w:b/>
          <w:color w:val="auto"/>
          <w:sz w:val="22"/>
          <w:szCs w:val="22"/>
          <w:highlight w:val="none"/>
        </w:rPr>
        <w:t>▲</w:t>
      </w:r>
      <w:r>
        <w:rPr>
          <w:rFonts w:hint="eastAsia" w:ascii="宋体" w:hAnsi="宋体" w:cs="宋体"/>
          <w:b/>
          <w:color w:val="auto"/>
          <w:sz w:val="22"/>
          <w:szCs w:val="22"/>
          <w:highlight w:val="none"/>
          <w:u w:val="single"/>
        </w:rPr>
        <w:t>备注：招标文件中带“▲”并加下划线的内容为实质性要求或者条款；带有下划线或深色底纹的内容，为招标文件的着重提醒内容，请投标人审慎阅读。</w:t>
      </w:r>
    </w:p>
    <w:p w14:paraId="6A25C073">
      <w:pPr>
        <w:spacing w:line="360" w:lineRule="exact"/>
        <w:ind w:right="110"/>
        <w:rPr>
          <w:rFonts w:ascii="宋体" w:hAnsi="宋体" w:cs="宋体"/>
          <w:b/>
          <w:color w:val="auto"/>
          <w:sz w:val="22"/>
          <w:szCs w:val="22"/>
          <w:highlight w:val="none"/>
          <w:u w:val="single"/>
        </w:rPr>
      </w:pPr>
    </w:p>
    <w:p w14:paraId="3C5DCC54">
      <w:pPr>
        <w:spacing w:line="360" w:lineRule="exact"/>
        <w:ind w:right="110"/>
        <w:rPr>
          <w:rFonts w:ascii="宋体" w:hAnsi="宋体" w:cs="宋体"/>
          <w:b/>
          <w:color w:val="auto"/>
          <w:sz w:val="22"/>
          <w:szCs w:val="22"/>
          <w:highlight w:val="none"/>
          <w:u w:val="single"/>
        </w:rPr>
      </w:pPr>
    </w:p>
    <w:p w14:paraId="145396A0">
      <w:pPr>
        <w:spacing w:line="360" w:lineRule="exact"/>
        <w:ind w:right="110"/>
        <w:rPr>
          <w:rFonts w:ascii="宋体" w:hAnsi="宋体" w:cs="宋体"/>
          <w:b/>
          <w:color w:val="auto"/>
          <w:sz w:val="22"/>
          <w:szCs w:val="22"/>
          <w:highlight w:val="none"/>
          <w:u w:val="single"/>
        </w:rPr>
      </w:pPr>
    </w:p>
    <w:p w14:paraId="0598C01D">
      <w:pPr>
        <w:spacing w:line="360" w:lineRule="exact"/>
        <w:ind w:right="110"/>
        <w:rPr>
          <w:rFonts w:ascii="宋体" w:hAnsi="宋体" w:cs="宋体"/>
          <w:b/>
          <w:color w:val="auto"/>
          <w:sz w:val="22"/>
          <w:szCs w:val="22"/>
          <w:highlight w:val="none"/>
          <w:u w:val="single"/>
        </w:rPr>
      </w:pPr>
    </w:p>
    <w:p w14:paraId="0D44CA14">
      <w:pPr>
        <w:spacing w:line="360" w:lineRule="exact"/>
        <w:ind w:right="110"/>
        <w:rPr>
          <w:rFonts w:ascii="宋体" w:hAnsi="宋体" w:cs="宋体"/>
          <w:b/>
          <w:color w:val="auto"/>
          <w:sz w:val="22"/>
          <w:szCs w:val="22"/>
          <w:highlight w:val="none"/>
          <w:u w:val="single"/>
        </w:rPr>
      </w:pPr>
    </w:p>
    <w:p w14:paraId="125B94F1">
      <w:pPr>
        <w:spacing w:line="360" w:lineRule="exact"/>
        <w:ind w:right="110"/>
        <w:rPr>
          <w:rFonts w:ascii="宋体" w:hAnsi="宋体" w:cs="宋体"/>
          <w:b/>
          <w:color w:val="auto"/>
          <w:sz w:val="22"/>
          <w:szCs w:val="22"/>
          <w:highlight w:val="none"/>
          <w:u w:val="single"/>
        </w:rPr>
      </w:pPr>
    </w:p>
    <w:p w14:paraId="18DAAB8D">
      <w:pPr>
        <w:spacing w:line="360" w:lineRule="exact"/>
        <w:ind w:right="110"/>
        <w:rPr>
          <w:rFonts w:ascii="宋体" w:hAnsi="宋体" w:cs="宋体"/>
          <w:b/>
          <w:color w:val="auto"/>
          <w:sz w:val="22"/>
          <w:szCs w:val="22"/>
          <w:highlight w:val="none"/>
          <w:u w:val="single"/>
        </w:rPr>
      </w:pPr>
    </w:p>
    <w:p w14:paraId="483BE025">
      <w:pPr>
        <w:spacing w:line="360" w:lineRule="exact"/>
        <w:ind w:right="110"/>
        <w:rPr>
          <w:rFonts w:ascii="宋体" w:hAnsi="宋体" w:cs="宋体"/>
          <w:b/>
          <w:color w:val="auto"/>
          <w:sz w:val="22"/>
          <w:szCs w:val="22"/>
          <w:highlight w:val="none"/>
          <w:u w:val="single"/>
        </w:rPr>
      </w:pPr>
    </w:p>
    <w:p w14:paraId="55AD3669">
      <w:pPr>
        <w:pStyle w:val="38"/>
        <w:ind w:left="420" w:firstLine="480"/>
        <w:rPr>
          <w:color w:val="auto"/>
          <w:highlight w:val="none"/>
        </w:rPr>
      </w:pPr>
    </w:p>
    <w:p w14:paraId="257A370F">
      <w:pPr>
        <w:pStyle w:val="18"/>
        <w:ind w:firstLine="210"/>
        <w:rPr>
          <w:color w:val="auto"/>
          <w:highlight w:val="none"/>
        </w:rPr>
      </w:pPr>
    </w:p>
    <w:p w14:paraId="5ECFF18B">
      <w:pPr>
        <w:pStyle w:val="38"/>
        <w:ind w:left="420" w:firstLine="480"/>
        <w:rPr>
          <w:color w:val="auto"/>
          <w:highlight w:val="none"/>
        </w:rPr>
      </w:pPr>
    </w:p>
    <w:p w14:paraId="3EDBC10D">
      <w:pPr>
        <w:rPr>
          <w:rFonts w:ascii="黑体" w:hAnsi="黑体" w:eastAsia="黑体"/>
          <w:bCs/>
          <w:color w:val="auto"/>
          <w:sz w:val="36"/>
          <w:szCs w:val="36"/>
          <w:highlight w:val="none"/>
        </w:rPr>
      </w:pPr>
    </w:p>
    <w:p w14:paraId="131DA2B8">
      <w:pPr>
        <w:rPr>
          <w:rFonts w:ascii="黑体" w:hAnsi="黑体" w:eastAsia="黑体"/>
          <w:bCs/>
          <w:color w:val="auto"/>
          <w:sz w:val="36"/>
          <w:szCs w:val="36"/>
          <w:highlight w:val="none"/>
        </w:rPr>
      </w:pPr>
      <w:r>
        <w:rPr>
          <w:rFonts w:hint="eastAsia" w:ascii="黑体" w:hAnsi="黑体" w:eastAsia="黑体"/>
          <w:bCs/>
          <w:color w:val="auto"/>
          <w:sz w:val="36"/>
          <w:szCs w:val="36"/>
          <w:highlight w:val="none"/>
        </w:rPr>
        <w:br w:type="page"/>
      </w:r>
    </w:p>
    <w:p w14:paraId="4D06F969">
      <w:pPr>
        <w:pStyle w:val="2"/>
        <w:spacing w:line="600" w:lineRule="exact"/>
        <w:jc w:val="center"/>
        <w:rPr>
          <w:rFonts w:ascii="黑体" w:hAnsi="黑体" w:eastAsia="黑体"/>
          <w:bCs/>
          <w:color w:val="auto"/>
          <w:sz w:val="36"/>
          <w:szCs w:val="36"/>
          <w:highlight w:val="none"/>
        </w:rPr>
      </w:pPr>
      <w:bookmarkStart w:id="2" w:name="_Toc17235"/>
      <w:r>
        <w:rPr>
          <w:rFonts w:hint="eastAsia" w:ascii="黑体" w:hAnsi="黑体" w:eastAsia="黑体"/>
          <w:bCs/>
          <w:color w:val="auto"/>
          <w:sz w:val="36"/>
          <w:szCs w:val="36"/>
          <w:highlight w:val="none"/>
        </w:rPr>
        <w:t>第一部分   招标公告</w:t>
      </w:r>
      <w:bookmarkEnd w:id="2"/>
    </w:p>
    <w:p w14:paraId="5FB79F55">
      <w:pPr>
        <w:pBdr>
          <w:top w:val="single" w:color="auto" w:sz="4" w:space="1"/>
          <w:left w:val="single" w:color="auto" w:sz="4" w:space="4"/>
          <w:bottom w:val="single" w:color="auto" w:sz="4" w:space="1"/>
          <w:right w:val="single" w:color="auto" w:sz="4" w:space="4"/>
        </w:pBdr>
        <w:spacing w:line="440" w:lineRule="exact"/>
        <w:rPr>
          <w:rFonts w:ascii="宋体" w:hAnsi="宋体"/>
          <w:color w:val="auto"/>
          <w:sz w:val="22"/>
          <w:szCs w:val="22"/>
          <w:highlight w:val="none"/>
        </w:rPr>
      </w:pPr>
      <w:r>
        <w:rPr>
          <w:rFonts w:hint="eastAsia" w:ascii="宋体" w:hAnsi="宋体"/>
          <w:color w:val="auto"/>
          <w:sz w:val="22"/>
          <w:szCs w:val="22"/>
          <w:highlight w:val="none"/>
        </w:rPr>
        <w:t>项目概况</w:t>
      </w:r>
    </w:p>
    <w:p w14:paraId="1EE8D1B9">
      <w:pPr>
        <w:pBdr>
          <w:top w:val="single" w:color="auto" w:sz="4" w:space="1"/>
          <w:left w:val="single" w:color="auto" w:sz="4" w:space="4"/>
          <w:bottom w:val="single" w:color="auto" w:sz="4" w:space="1"/>
          <w:right w:val="single" w:color="auto" w:sz="4" w:space="4"/>
        </w:pBd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u w:val="single"/>
          <w:lang w:eastAsia="zh-CN"/>
        </w:rPr>
        <w:t>提升国际化办学水平项目（重）</w:t>
      </w:r>
      <w:r>
        <w:rPr>
          <w:rFonts w:hint="eastAsia" w:ascii="宋体" w:hAnsi="宋体"/>
          <w:color w:val="auto"/>
          <w:sz w:val="22"/>
          <w:szCs w:val="22"/>
          <w:highlight w:val="none"/>
        </w:rPr>
        <w:t>招标项目的潜在投标人应在</w:t>
      </w:r>
      <w:r>
        <w:rPr>
          <w:rFonts w:hint="eastAsia" w:ascii="宋体" w:hAnsi="宋体"/>
          <w:color w:val="auto"/>
          <w:sz w:val="22"/>
          <w:szCs w:val="22"/>
          <w:highlight w:val="none"/>
          <w:u w:val="single"/>
        </w:rPr>
        <w:t>政采云平台（</w:t>
      </w:r>
      <w:r>
        <w:rPr>
          <w:color w:val="auto"/>
          <w:highlight w:val="none"/>
        </w:rPr>
        <w:fldChar w:fldCharType="begin"/>
      </w:r>
      <w:r>
        <w:rPr>
          <w:color w:val="auto"/>
          <w:highlight w:val="none"/>
        </w:rPr>
        <w:instrText xml:space="preserve"> HYPERLINK "https://www.zcygov.cn）获取（下载）招标文件，并于2025年" </w:instrText>
      </w:r>
      <w:r>
        <w:rPr>
          <w:color w:val="auto"/>
          <w:highlight w:val="none"/>
        </w:rPr>
        <w:fldChar w:fldCharType="separate"/>
      </w:r>
      <w:r>
        <w:rPr>
          <w:rStyle w:val="47"/>
          <w:rFonts w:hint="eastAsia" w:ascii="宋体" w:hAnsi="宋体"/>
          <w:color w:val="auto"/>
          <w:sz w:val="22"/>
          <w:szCs w:val="22"/>
          <w:highlight w:val="none"/>
        </w:rPr>
        <w:t>https://www.zcygov.cn）获取（下载）招标文件，并于</w:t>
      </w:r>
      <w:r>
        <w:rPr>
          <w:rStyle w:val="47"/>
          <w:rFonts w:ascii="宋体" w:hAnsi="宋体"/>
          <w:color w:val="auto"/>
          <w:sz w:val="22"/>
          <w:szCs w:val="22"/>
          <w:highlight w:val="none"/>
        </w:rPr>
        <w:t>2025</w:t>
      </w:r>
      <w:r>
        <w:rPr>
          <w:rStyle w:val="47"/>
          <w:rFonts w:hint="eastAsia" w:ascii="宋体" w:hAnsi="宋体"/>
          <w:bCs/>
          <w:color w:val="auto"/>
          <w:sz w:val="22"/>
          <w:szCs w:val="22"/>
          <w:highlight w:val="none"/>
        </w:rPr>
        <w:t>年</w:t>
      </w:r>
      <w:r>
        <w:rPr>
          <w:rStyle w:val="47"/>
          <w:rFonts w:hint="eastAsia" w:ascii="宋体" w:hAnsi="宋体"/>
          <w:bCs/>
          <w:color w:val="auto"/>
          <w:sz w:val="22"/>
          <w:szCs w:val="22"/>
          <w:highlight w:val="none"/>
        </w:rPr>
        <w:fldChar w:fldCharType="end"/>
      </w:r>
      <w:r>
        <w:rPr>
          <w:rFonts w:hint="eastAsia" w:ascii="宋体" w:hAnsi="宋体"/>
          <w:color w:val="auto"/>
          <w:sz w:val="22"/>
          <w:szCs w:val="22"/>
          <w:highlight w:val="none"/>
          <w:u w:val="single"/>
          <w:lang w:val="en-US" w:eastAsia="zh-CN"/>
        </w:rPr>
        <w:t>09</w:t>
      </w:r>
      <w:r>
        <w:rPr>
          <w:rFonts w:hint="eastAsia" w:ascii="宋体" w:hAnsi="宋体"/>
          <w:bCs/>
          <w:color w:val="auto"/>
          <w:sz w:val="22"/>
          <w:szCs w:val="22"/>
          <w:highlight w:val="none"/>
        </w:rPr>
        <w:t>月</w:t>
      </w:r>
      <w:r>
        <w:rPr>
          <w:rFonts w:hint="eastAsia" w:ascii="宋体" w:hAnsi="宋体"/>
          <w:bCs/>
          <w:color w:val="auto"/>
          <w:sz w:val="22"/>
          <w:szCs w:val="22"/>
          <w:highlight w:val="none"/>
          <w:u w:val="single"/>
          <w:lang w:val="en-US" w:eastAsia="zh-CN"/>
        </w:rPr>
        <w:t>04</w:t>
      </w:r>
      <w:r>
        <w:rPr>
          <w:rFonts w:hint="eastAsia" w:ascii="宋体" w:hAnsi="宋体"/>
          <w:bCs/>
          <w:color w:val="auto"/>
          <w:sz w:val="22"/>
          <w:szCs w:val="22"/>
          <w:highlight w:val="none"/>
        </w:rPr>
        <w:t>日</w:t>
      </w:r>
      <w:r>
        <w:rPr>
          <w:rFonts w:hint="eastAsia" w:ascii="宋体" w:hAnsi="宋体"/>
          <w:bCs/>
          <w:color w:val="auto"/>
          <w:sz w:val="22"/>
          <w:szCs w:val="22"/>
          <w:highlight w:val="none"/>
          <w:u w:val="single"/>
        </w:rPr>
        <w:t>09</w:t>
      </w:r>
      <w:r>
        <w:rPr>
          <w:rFonts w:hint="eastAsia" w:ascii="宋体" w:hAnsi="宋体"/>
          <w:bCs/>
          <w:color w:val="auto"/>
          <w:sz w:val="22"/>
          <w:szCs w:val="22"/>
          <w:highlight w:val="none"/>
        </w:rPr>
        <w:t>点</w:t>
      </w:r>
      <w:r>
        <w:rPr>
          <w:rFonts w:ascii="宋体" w:hAnsi="宋体"/>
          <w:bCs/>
          <w:color w:val="auto"/>
          <w:sz w:val="22"/>
          <w:szCs w:val="22"/>
          <w:highlight w:val="none"/>
          <w:u w:val="single"/>
        </w:rPr>
        <w:t>30</w:t>
      </w:r>
      <w:r>
        <w:rPr>
          <w:rFonts w:hint="eastAsia" w:ascii="宋体" w:hAnsi="宋体"/>
          <w:bCs/>
          <w:color w:val="auto"/>
          <w:sz w:val="22"/>
          <w:szCs w:val="22"/>
          <w:highlight w:val="none"/>
        </w:rPr>
        <w:t>分（北京时间）前递交（上传）投标</w:t>
      </w:r>
      <w:r>
        <w:rPr>
          <w:rFonts w:ascii="宋体" w:hAnsi="宋体"/>
          <w:bCs/>
          <w:color w:val="auto"/>
          <w:sz w:val="22"/>
          <w:szCs w:val="22"/>
          <w:highlight w:val="none"/>
        </w:rPr>
        <w:t>文件</w:t>
      </w:r>
      <w:r>
        <w:rPr>
          <w:rFonts w:hint="eastAsia" w:ascii="宋体" w:hAnsi="宋体"/>
          <w:color w:val="auto"/>
          <w:sz w:val="22"/>
          <w:szCs w:val="22"/>
          <w:highlight w:val="none"/>
        </w:rPr>
        <w:t>。</w:t>
      </w:r>
    </w:p>
    <w:p w14:paraId="2C0FAEA6">
      <w:pPr>
        <w:widowControl/>
        <w:spacing w:line="440" w:lineRule="exact"/>
        <w:rPr>
          <w:rFonts w:ascii="宋体" w:hAnsi="宋体" w:cs="宋体"/>
          <w:b/>
          <w:color w:val="auto"/>
          <w:sz w:val="22"/>
          <w:szCs w:val="22"/>
          <w:highlight w:val="none"/>
        </w:rPr>
      </w:pPr>
      <w:bookmarkStart w:id="3" w:name="_Toc35393790"/>
      <w:bookmarkStart w:id="4" w:name="_Toc35393621"/>
      <w:bookmarkStart w:id="5" w:name="_Toc28359079"/>
      <w:bookmarkStart w:id="6" w:name="_Toc28359002"/>
      <w:bookmarkStart w:id="7" w:name="_Hlk24379207"/>
      <w:r>
        <w:rPr>
          <w:rFonts w:hint="eastAsia" w:ascii="宋体" w:hAnsi="宋体" w:cs="宋体"/>
          <w:b/>
          <w:color w:val="auto"/>
          <w:sz w:val="22"/>
          <w:szCs w:val="22"/>
          <w:highlight w:val="none"/>
        </w:rPr>
        <w:t>一、项目基本情况</w:t>
      </w:r>
      <w:bookmarkEnd w:id="3"/>
      <w:bookmarkEnd w:id="4"/>
      <w:bookmarkEnd w:id="5"/>
      <w:bookmarkEnd w:id="6"/>
    </w:p>
    <w:p w14:paraId="4C81C12E">
      <w:pPr>
        <w:spacing w:line="440" w:lineRule="exact"/>
        <w:ind w:firstLine="440" w:firstLineChars="200"/>
        <w:rPr>
          <w:rFonts w:hint="eastAsia" w:ascii="宋体" w:hAnsi="宋体" w:eastAsia="宋体"/>
          <w:color w:val="auto"/>
          <w:sz w:val="22"/>
          <w:szCs w:val="22"/>
          <w:highlight w:val="none"/>
          <w:lang w:eastAsia="zh-CN"/>
        </w:rPr>
      </w:pPr>
      <w:r>
        <w:rPr>
          <w:rFonts w:hint="eastAsia" w:ascii="宋体" w:hAnsi="宋体"/>
          <w:color w:val="auto"/>
          <w:sz w:val="22"/>
          <w:szCs w:val="22"/>
          <w:highlight w:val="none"/>
        </w:rPr>
        <w:t>项目编号：</w:t>
      </w:r>
      <w:r>
        <w:rPr>
          <w:rFonts w:hint="eastAsia" w:ascii="宋体" w:hAnsi="宋体"/>
          <w:color w:val="auto"/>
          <w:sz w:val="22"/>
          <w:szCs w:val="22"/>
          <w:highlight w:val="none"/>
          <w:lang w:eastAsia="zh-CN"/>
        </w:rPr>
        <w:t>WZZF2025(ZC)-08-180（GK）</w:t>
      </w:r>
    </w:p>
    <w:p w14:paraId="37B4A7E8">
      <w:pPr>
        <w:spacing w:line="440" w:lineRule="exact"/>
        <w:ind w:firstLine="440" w:firstLineChars="200"/>
        <w:rPr>
          <w:rFonts w:hint="eastAsia" w:ascii="宋体" w:hAnsi="宋体" w:eastAsia="宋体"/>
          <w:color w:val="auto"/>
          <w:sz w:val="22"/>
          <w:szCs w:val="22"/>
          <w:highlight w:val="none"/>
          <w:lang w:eastAsia="zh-CN"/>
        </w:rPr>
      </w:pPr>
      <w:r>
        <w:rPr>
          <w:rFonts w:hint="eastAsia" w:ascii="宋体" w:hAnsi="宋体"/>
          <w:color w:val="auto"/>
          <w:sz w:val="22"/>
          <w:szCs w:val="22"/>
          <w:highlight w:val="none"/>
        </w:rPr>
        <w:t>项目名称：</w:t>
      </w:r>
      <w:r>
        <w:rPr>
          <w:rFonts w:hint="eastAsia" w:ascii="宋体" w:hAnsi="宋体"/>
          <w:color w:val="auto"/>
          <w:sz w:val="22"/>
          <w:szCs w:val="22"/>
          <w:highlight w:val="none"/>
          <w:lang w:eastAsia="zh-CN"/>
        </w:rPr>
        <w:t>提升国际化办学水平项目（重）</w:t>
      </w:r>
    </w:p>
    <w:bookmarkEnd w:id="7"/>
    <w:p w14:paraId="5D7F2229">
      <w:pPr>
        <w:spacing w:line="440" w:lineRule="exact"/>
        <w:ind w:firstLine="440" w:firstLineChars="200"/>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rPr>
        <w:t>预算金额（元）：</w:t>
      </w:r>
      <w:r>
        <w:rPr>
          <w:rFonts w:hint="eastAsia" w:ascii="宋体" w:hAnsi="宋体"/>
          <w:color w:val="auto"/>
          <w:sz w:val="22"/>
          <w:szCs w:val="22"/>
          <w:highlight w:val="none"/>
          <w:lang w:val="en-US" w:eastAsia="zh-CN"/>
        </w:rPr>
        <w:t>1000000</w:t>
      </w:r>
    </w:p>
    <w:p w14:paraId="66236A8D">
      <w:pPr>
        <w:spacing w:line="440" w:lineRule="exact"/>
        <w:ind w:firstLine="440" w:firstLineChars="200"/>
        <w:rPr>
          <w:rFonts w:ascii="宋体" w:hAnsi="宋体"/>
          <w:color w:val="auto"/>
          <w:sz w:val="22"/>
          <w:szCs w:val="22"/>
          <w:highlight w:val="none"/>
          <w:u w:val="single"/>
        </w:rPr>
      </w:pPr>
      <w:r>
        <w:rPr>
          <w:rFonts w:hint="eastAsia" w:ascii="宋体" w:hAnsi="宋体"/>
          <w:color w:val="auto"/>
          <w:sz w:val="22"/>
          <w:szCs w:val="22"/>
          <w:highlight w:val="none"/>
        </w:rPr>
        <w:t>最高限价（元）：</w:t>
      </w:r>
      <w:r>
        <w:rPr>
          <w:rFonts w:hint="eastAsia" w:ascii="宋体" w:hAnsi="宋体"/>
          <w:color w:val="auto"/>
          <w:sz w:val="22"/>
          <w:szCs w:val="22"/>
          <w:highlight w:val="none"/>
          <w:lang w:val="en-US" w:eastAsia="zh-CN"/>
        </w:rPr>
        <w:t>1000000</w:t>
      </w:r>
    </w:p>
    <w:p w14:paraId="0D4C4512">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采购需求：</w:t>
      </w:r>
    </w:p>
    <w:p w14:paraId="3D3504D9">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标项一：</w:t>
      </w:r>
      <w:r>
        <w:rPr>
          <w:rFonts w:hint="eastAsia" w:ascii="宋体" w:hAnsi="宋体"/>
          <w:color w:val="auto"/>
          <w:sz w:val="22"/>
          <w:szCs w:val="22"/>
          <w:highlight w:val="none"/>
        </w:rPr>
        <w:br w:type="textWrapping"/>
      </w:r>
      <w:r>
        <w:rPr>
          <w:rFonts w:hint="eastAsia" w:ascii="宋体" w:hAnsi="宋体"/>
          <w:color w:val="auto"/>
          <w:sz w:val="22"/>
          <w:szCs w:val="22"/>
          <w:highlight w:val="none"/>
        </w:rPr>
        <w:t>   标项名称：</w:t>
      </w:r>
      <w:r>
        <w:rPr>
          <w:rFonts w:hint="eastAsia" w:ascii="宋体" w:hAnsi="宋体"/>
          <w:color w:val="auto"/>
          <w:sz w:val="22"/>
          <w:szCs w:val="22"/>
          <w:highlight w:val="none"/>
          <w:lang w:eastAsia="zh-CN"/>
        </w:rPr>
        <w:t>提升国际化办学水平项目（重）</w:t>
      </w:r>
      <w:r>
        <w:rPr>
          <w:rFonts w:hint="eastAsia" w:ascii="宋体" w:hAnsi="宋体"/>
          <w:color w:val="auto"/>
          <w:sz w:val="22"/>
          <w:szCs w:val="22"/>
          <w:highlight w:val="none"/>
        </w:rPr>
        <w:br w:type="textWrapping"/>
      </w:r>
      <w:r>
        <w:rPr>
          <w:rFonts w:hint="eastAsia" w:ascii="宋体" w:hAnsi="宋体"/>
          <w:color w:val="auto"/>
          <w:sz w:val="22"/>
          <w:szCs w:val="22"/>
          <w:highlight w:val="none"/>
        </w:rPr>
        <w:t>   数量: 1批</w:t>
      </w:r>
      <w:r>
        <w:rPr>
          <w:rFonts w:hint="eastAsia" w:ascii="宋体" w:hAnsi="宋体"/>
          <w:color w:val="auto"/>
          <w:sz w:val="22"/>
          <w:szCs w:val="22"/>
          <w:highlight w:val="none"/>
        </w:rPr>
        <w:br w:type="textWrapping"/>
      </w:r>
      <w:r>
        <w:rPr>
          <w:rFonts w:hint="eastAsia" w:ascii="宋体" w:hAnsi="宋体"/>
          <w:color w:val="auto"/>
          <w:sz w:val="22"/>
          <w:szCs w:val="22"/>
          <w:highlight w:val="none"/>
        </w:rPr>
        <w:t>   预算金额（元）：</w:t>
      </w:r>
      <w:r>
        <w:rPr>
          <w:rFonts w:hint="eastAsia" w:ascii="宋体" w:hAnsi="宋体"/>
          <w:color w:val="auto"/>
          <w:sz w:val="22"/>
          <w:szCs w:val="22"/>
          <w:highlight w:val="none"/>
          <w:lang w:val="en-US" w:eastAsia="zh-CN"/>
        </w:rPr>
        <w:t>1000000</w:t>
      </w:r>
      <w:r>
        <w:rPr>
          <w:rFonts w:hint="eastAsia" w:ascii="宋体" w:hAnsi="宋体"/>
          <w:color w:val="auto"/>
          <w:sz w:val="22"/>
          <w:szCs w:val="22"/>
          <w:highlight w:val="none"/>
        </w:rPr>
        <w:br w:type="textWrapping"/>
      </w:r>
      <w:r>
        <w:rPr>
          <w:rFonts w:hint="eastAsia" w:ascii="宋体" w:hAnsi="宋体"/>
          <w:color w:val="auto"/>
          <w:sz w:val="22"/>
          <w:szCs w:val="22"/>
          <w:highlight w:val="none"/>
        </w:rPr>
        <w:t>   简要规格描述或项目基本概况介绍、用途：浙江安防职业技术学院</w:t>
      </w:r>
      <w:r>
        <w:rPr>
          <w:rFonts w:hint="eastAsia" w:ascii="宋体" w:hAnsi="宋体"/>
          <w:color w:val="auto"/>
          <w:sz w:val="22"/>
          <w:szCs w:val="22"/>
          <w:highlight w:val="none"/>
          <w:lang w:eastAsia="zh-CN"/>
        </w:rPr>
        <w:t>提升国际化办学水平项目</w:t>
      </w:r>
      <w:r>
        <w:rPr>
          <w:rFonts w:hint="eastAsia" w:ascii="宋体" w:hAnsi="宋体"/>
          <w:color w:val="auto"/>
          <w:sz w:val="22"/>
          <w:szCs w:val="22"/>
          <w:highlight w:val="none"/>
        </w:rPr>
        <w:t>采购，详见招标文件第五部分。</w:t>
      </w:r>
    </w:p>
    <w:p w14:paraId="0A2B5D25">
      <w:pPr>
        <w:spacing w:line="440" w:lineRule="exact"/>
        <w:ind w:firstLine="440" w:firstLineChars="200"/>
        <w:rPr>
          <w:rFonts w:hint="eastAsia" w:ascii="宋体" w:hAnsi="宋体" w:eastAsia="宋体" w:cs="宋体"/>
          <w:color w:val="auto"/>
          <w:sz w:val="22"/>
          <w:szCs w:val="22"/>
          <w:highlight w:val="none"/>
        </w:rPr>
      </w:pPr>
      <w:r>
        <w:rPr>
          <w:rFonts w:hint="eastAsia" w:ascii="宋体" w:hAnsi="宋体"/>
          <w:color w:val="auto"/>
          <w:sz w:val="22"/>
          <w:szCs w:val="22"/>
          <w:highlight w:val="none"/>
        </w:rPr>
        <w:t>备注：</w:t>
      </w:r>
    </w:p>
    <w:p w14:paraId="5775032B">
      <w:pP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合同履行期限：</w:t>
      </w:r>
      <w:r>
        <w:rPr>
          <w:rFonts w:hint="eastAsia" w:ascii="宋体" w:hAnsi="宋体" w:cs="宋体"/>
          <w:color w:val="auto"/>
          <w:sz w:val="22"/>
          <w:szCs w:val="22"/>
          <w:highlight w:val="none"/>
        </w:rPr>
        <w:t>签订合同之日起</w:t>
      </w:r>
      <w:r>
        <w:rPr>
          <w:rFonts w:hint="eastAsia" w:ascii="宋体" w:hAnsi="宋体" w:cs="宋体"/>
          <w:color w:val="auto"/>
          <w:sz w:val="22"/>
          <w:szCs w:val="22"/>
          <w:highlight w:val="none"/>
          <w:lang w:val="en-US" w:eastAsia="zh-CN"/>
        </w:rPr>
        <w:t>至2025年12月</w:t>
      </w:r>
      <w:r>
        <w:rPr>
          <w:rFonts w:hint="eastAsia" w:ascii="宋体" w:hAnsi="宋体" w:eastAsia="宋体" w:cs="宋体"/>
          <w:color w:val="auto"/>
          <w:sz w:val="22"/>
          <w:highlight w:val="none"/>
        </w:rPr>
        <w:t>。</w:t>
      </w:r>
    </w:p>
    <w:p w14:paraId="097F408C">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本项目（</w:t>
      </w:r>
      <w:r>
        <w:rPr>
          <w:rFonts w:hint="eastAsia" w:ascii="宋体" w:hAnsi="宋体"/>
          <w:color w:val="auto"/>
          <w:sz w:val="22"/>
          <w:szCs w:val="22"/>
          <w:highlight w:val="none"/>
          <w:lang w:val="en-US" w:eastAsia="zh-CN"/>
        </w:rPr>
        <w:t>否</w:t>
      </w:r>
      <w:r>
        <w:rPr>
          <w:rFonts w:hint="eastAsia" w:ascii="宋体" w:hAnsi="宋体"/>
          <w:color w:val="auto"/>
          <w:sz w:val="22"/>
          <w:szCs w:val="22"/>
          <w:highlight w:val="none"/>
        </w:rPr>
        <w:t>）接受联合体投标。</w:t>
      </w:r>
    </w:p>
    <w:p w14:paraId="066268F6">
      <w:pPr>
        <w:widowControl/>
        <w:spacing w:line="440" w:lineRule="exact"/>
        <w:rPr>
          <w:rFonts w:ascii="宋体" w:hAnsi="宋体" w:cs="宋体"/>
          <w:b/>
          <w:color w:val="auto"/>
          <w:sz w:val="22"/>
          <w:szCs w:val="22"/>
          <w:highlight w:val="none"/>
        </w:rPr>
      </w:pPr>
      <w:bookmarkStart w:id="8" w:name="_Toc28359003"/>
      <w:bookmarkStart w:id="9" w:name="_Toc35393791"/>
      <w:bookmarkStart w:id="10" w:name="_Toc28359080"/>
      <w:bookmarkStart w:id="11" w:name="_Toc35393622"/>
      <w:r>
        <w:rPr>
          <w:rFonts w:hint="eastAsia" w:ascii="宋体" w:hAnsi="宋体" w:cs="宋体"/>
          <w:b/>
          <w:color w:val="auto"/>
          <w:sz w:val="22"/>
          <w:szCs w:val="22"/>
          <w:highlight w:val="none"/>
        </w:rPr>
        <w:t>二、申请人的资格要求：</w:t>
      </w:r>
      <w:bookmarkEnd w:id="8"/>
      <w:bookmarkEnd w:id="9"/>
      <w:bookmarkEnd w:id="10"/>
      <w:bookmarkEnd w:id="11"/>
    </w:p>
    <w:p w14:paraId="0A199C01">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7379710">
      <w:pPr>
        <w:spacing w:line="440" w:lineRule="exact"/>
        <w:ind w:firstLine="440" w:firstLineChars="200"/>
        <w:rPr>
          <w:rFonts w:ascii="宋体" w:hAnsi="宋体"/>
          <w:color w:val="auto"/>
          <w:sz w:val="22"/>
          <w:szCs w:val="22"/>
          <w:highlight w:val="none"/>
          <w:u w:val="single"/>
        </w:rPr>
      </w:pPr>
      <w:bookmarkStart w:id="12" w:name="_Toc28359081"/>
      <w:bookmarkStart w:id="13" w:name="_Toc28359004"/>
      <w:r>
        <w:rPr>
          <w:rFonts w:ascii="宋体" w:hAnsi="宋体"/>
          <w:color w:val="auto"/>
          <w:sz w:val="22"/>
          <w:szCs w:val="22"/>
          <w:highlight w:val="none"/>
        </w:rPr>
        <w:t>2</w:t>
      </w:r>
      <w:r>
        <w:rPr>
          <w:rFonts w:hint="eastAsia" w:ascii="宋体" w:hAnsi="宋体"/>
          <w:color w:val="auto"/>
          <w:sz w:val="22"/>
          <w:szCs w:val="22"/>
          <w:highlight w:val="none"/>
        </w:rPr>
        <w:t>.落实政府采购政策需满足的资格要求：供应商为中小企业/小微企业。</w:t>
      </w:r>
    </w:p>
    <w:p w14:paraId="06CDB5DD">
      <w:pPr>
        <w:spacing w:line="440" w:lineRule="exact"/>
        <w:ind w:firstLine="440" w:firstLineChars="200"/>
        <w:rPr>
          <w:rFonts w:ascii="宋体" w:hAnsi="宋体"/>
          <w:color w:val="auto"/>
          <w:sz w:val="22"/>
          <w:szCs w:val="22"/>
          <w:highlight w:val="none"/>
          <w:u w:val="single"/>
        </w:rPr>
      </w:pPr>
      <w:r>
        <w:rPr>
          <w:rFonts w:hint="eastAsia" w:ascii="宋体" w:hAnsi="宋体"/>
          <w:color w:val="auto"/>
          <w:sz w:val="22"/>
          <w:szCs w:val="22"/>
          <w:highlight w:val="none"/>
        </w:rPr>
        <w:t>3.本项目的特定资格要求：无。</w:t>
      </w:r>
    </w:p>
    <w:p w14:paraId="55891B8D">
      <w:pPr>
        <w:widowControl/>
        <w:spacing w:line="440" w:lineRule="exact"/>
        <w:rPr>
          <w:rFonts w:ascii="宋体" w:hAnsi="宋体" w:cs="宋体"/>
          <w:b/>
          <w:color w:val="auto"/>
          <w:sz w:val="22"/>
          <w:szCs w:val="22"/>
          <w:highlight w:val="none"/>
        </w:rPr>
      </w:pPr>
      <w:bookmarkStart w:id="14" w:name="_Toc35393792"/>
      <w:bookmarkStart w:id="15" w:name="_Toc35393623"/>
      <w:r>
        <w:rPr>
          <w:rFonts w:hint="eastAsia" w:ascii="宋体" w:hAnsi="宋体" w:cs="宋体"/>
          <w:b/>
          <w:color w:val="auto"/>
          <w:sz w:val="22"/>
          <w:szCs w:val="22"/>
          <w:highlight w:val="none"/>
        </w:rPr>
        <w:t>三、获取招标文件</w:t>
      </w:r>
      <w:bookmarkEnd w:id="12"/>
      <w:bookmarkEnd w:id="13"/>
      <w:bookmarkEnd w:id="14"/>
      <w:bookmarkEnd w:id="15"/>
    </w:p>
    <w:p w14:paraId="73748D48">
      <w:pPr>
        <w:pStyle w:val="35"/>
        <w:spacing w:before="75" w:beforeAutospacing="0" w:after="75" w:afterAutospacing="0" w:line="440" w:lineRule="exact"/>
        <w:ind w:firstLine="440" w:firstLineChars="200"/>
        <w:rPr>
          <w:color w:val="auto"/>
          <w:sz w:val="22"/>
          <w:szCs w:val="22"/>
          <w:highlight w:val="none"/>
        </w:rPr>
      </w:pPr>
      <w:r>
        <w:rPr>
          <w:rFonts w:hint="eastAsia"/>
          <w:color w:val="auto"/>
          <w:sz w:val="22"/>
          <w:szCs w:val="22"/>
          <w:highlight w:val="none"/>
        </w:rPr>
        <w:t>时间：/ 至202</w:t>
      </w:r>
      <w:r>
        <w:rPr>
          <w:color w:val="auto"/>
          <w:sz w:val="22"/>
          <w:szCs w:val="22"/>
          <w:highlight w:val="none"/>
        </w:rPr>
        <w:t>5</w:t>
      </w:r>
      <w:r>
        <w:rPr>
          <w:rFonts w:hint="eastAsia"/>
          <w:color w:val="auto"/>
          <w:sz w:val="22"/>
          <w:szCs w:val="22"/>
          <w:highlight w:val="none"/>
        </w:rPr>
        <w:t>年</w:t>
      </w:r>
      <w:r>
        <w:rPr>
          <w:rFonts w:hint="eastAsia"/>
          <w:color w:val="auto"/>
          <w:sz w:val="22"/>
          <w:szCs w:val="22"/>
          <w:highlight w:val="none"/>
          <w:u w:val="single"/>
          <w:lang w:val="en-US" w:eastAsia="zh-CN"/>
        </w:rPr>
        <w:t>09</w:t>
      </w:r>
      <w:r>
        <w:rPr>
          <w:rFonts w:hint="eastAsia"/>
          <w:color w:val="auto"/>
          <w:sz w:val="22"/>
          <w:szCs w:val="22"/>
          <w:highlight w:val="none"/>
        </w:rPr>
        <w:t>月</w:t>
      </w:r>
      <w:r>
        <w:rPr>
          <w:rFonts w:hint="eastAsia"/>
          <w:color w:val="auto"/>
          <w:sz w:val="22"/>
          <w:szCs w:val="22"/>
          <w:highlight w:val="none"/>
          <w:u w:val="single"/>
          <w:lang w:val="en-US" w:eastAsia="zh-CN"/>
        </w:rPr>
        <w:t>04</w:t>
      </w:r>
      <w:r>
        <w:rPr>
          <w:rFonts w:hint="eastAsia"/>
          <w:color w:val="auto"/>
          <w:sz w:val="22"/>
          <w:szCs w:val="22"/>
          <w:highlight w:val="none"/>
        </w:rPr>
        <w:t>日，每天上午00:00至12:00，下午12:00至23:59（北京时间，线上获取法定节假日均可，线下获取文件法定节假日除外）</w:t>
      </w:r>
    </w:p>
    <w:p w14:paraId="3F8B9E2A">
      <w:pPr>
        <w:pStyle w:val="35"/>
        <w:spacing w:before="75" w:beforeAutospacing="0" w:after="75" w:afterAutospacing="0" w:line="440" w:lineRule="exact"/>
        <w:rPr>
          <w:color w:val="auto"/>
          <w:sz w:val="22"/>
          <w:szCs w:val="22"/>
          <w:highlight w:val="none"/>
        </w:rPr>
      </w:pPr>
      <w:r>
        <w:rPr>
          <w:rFonts w:hint="eastAsia"/>
          <w:color w:val="auto"/>
          <w:sz w:val="22"/>
          <w:szCs w:val="22"/>
          <w:highlight w:val="none"/>
        </w:rPr>
        <w:t>  地点（网址）：政采云平台线上获取</w:t>
      </w:r>
    </w:p>
    <w:p w14:paraId="49CCA2DD">
      <w:pPr>
        <w:pStyle w:val="35"/>
        <w:spacing w:before="75" w:beforeAutospacing="0" w:after="75" w:afterAutospacing="0" w:line="440" w:lineRule="exact"/>
        <w:rPr>
          <w:color w:val="auto"/>
          <w:sz w:val="22"/>
          <w:szCs w:val="22"/>
          <w:highlight w:val="none"/>
          <w:u w:val="single"/>
        </w:rPr>
      </w:pPr>
      <w:r>
        <w:rPr>
          <w:rFonts w:hint="eastAsia"/>
          <w:color w:val="auto"/>
          <w:sz w:val="22"/>
          <w:szCs w:val="22"/>
          <w:highlight w:val="none"/>
        </w:rPr>
        <w:t xml:space="preserve">  方式：供应商登录政采云平台https://www.zcygov.cn/在线申请获取采购文件（进入“项目采购”应用，在获取采购文件菜单中选择项目，申请获取采购文件） </w:t>
      </w:r>
    </w:p>
    <w:p w14:paraId="4559DF8A">
      <w:pPr>
        <w:pStyle w:val="35"/>
        <w:spacing w:before="75" w:beforeAutospacing="0" w:after="75" w:afterAutospacing="0" w:line="440" w:lineRule="exact"/>
        <w:rPr>
          <w:color w:val="auto"/>
          <w:sz w:val="22"/>
          <w:szCs w:val="22"/>
          <w:highlight w:val="none"/>
        </w:rPr>
      </w:pPr>
      <w:r>
        <w:rPr>
          <w:rFonts w:hint="eastAsia"/>
          <w:color w:val="auto"/>
          <w:sz w:val="22"/>
          <w:szCs w:val="22"/>
          <w:highlight w:val="none"/>
        </w:rPr>
        <w:t>  售价（元）：0 </w:t>
      </w:r>
    </w:p>
    <w:p w14:paraId="30267004">
      <w:pPr>
        <w:widowControl/>
        <w:spacing w:line="440" w:lineRule="exact"/>
        <w:rPr>
          <w:rFonts w:ascii="宋体" w:hAnsi="宋体" w:cs="宋体"/>
          <w:color w:val="auto"/>
          <w:sz w:val="22"/>
          <w:szCs w:val="22"/>
          <w:highlight w:val="none"/>
        </w:rPr>
      </w:pPr>
      <w:r>
        <w:rPr>
          <w:rFonts w:hint="eastAsia" w:ascii="宋体" w:hAnsi="宋体" w:cs="宋体"/>
          <w:b/>
          <w:color w:val="auto"/>
          <w:sz w:val="22"/>
          <w:szCs w:val="22"/>
          <w:highlight w:val="none"/>
        </w:rPr>
        <w:t>四、提交投标文件截止时间、开标时间和地点</w:t>
      </w:r>
    </w:p>
    <w:p w14:paraId="5FA459FC">
      <w:pPr>
        <w:pStyle w:val="35"/>
        <w:spacing w:before="75" w:beforeAutospacing="0" w:after="75" w:afterAutospacing="0" w:line="440" w:lineRule="exact"/>
        <w:rPr>
          <w:color w:val="auto"/>
          <w:sz w:val="22"/>
          <w:szCs w:val="22"/>
          <w:highlight w:val="none"/>
        </w:rPr>
      </w:pPr>
      <w:r>
        <w:rPr>
          <w:rFonts w:hint="eastAsia"/>
          <w:color w:val="auto"/>
          <w:sz w:val="22"/>
          <w:szCs w:val="22"/>
          <w:highlight w:val="none"/>
        </w:rPr>
        <w:t>   提交投标文件截止时间：202</w:t>
      </w:r>
      <w:r>
        <w:rPr>
          <w:color w:val="auto"/>
          <w:sz w:val="22"/>
          <w:szCs w:val="22"/>
          <w:highlight w:val="none"/>
        </w:rPr>
        <w:t>5</w:t>
      </w:r>
      <w:r>
        <w:rPr>
          <w:rFonts w:hint="eastAsia"/>
          <w:color w:val="auto"/>
          <w:sz w:val="22"/>
          <w:szCs w:val="22"/>
          <w:highlight w:val="none"/>
        </w:rPr>
        <w:t>年</w:t>
      </w:r>
      <w:r>
        <w:rPr>
          <w:rFonts w:hint="eastAsia"/>
          <w:color w:val="auto"/>
          <w:sz w:val="22"/>
          <w:szCs w:val="22"/>
          <w:highlight w:val="none"/>
          <w:u w:val="single"/>
          <w:lang w:val="en-US" w:eastAsia="zh-CN"/>
        </w:rPr>
        <w:t>09</w:t>
      </w:r>
      <w:r>
        <w:rPr>
          <w:rFonts w:hint="eastAsia"/>
          <w:color w:val="auto"/>
          <w:sz w:val="22"/>
          <w:szCs w:val="22"/>
          <w:highlight w:val="none"/>
        </w:rPr>
        <w:t>月</w:t>
      </w:r>
      <w:r>
        <w:rPr>
          <w:rFonts w:hint="eastAsia"/>
          <w:color w:val="auto"/>
          <w:sz w:val="22"/>
          <w:szCs w:val="22"/>
          <w:highlight w:val="none"/>
          <w:u w:val="single"/>
          <w:lang w:val="en-US" w:eastAsia="zh-CN"/>
        </w:rPr>
        <w:t>04</w:t>
      </w:r>
      <w:r>
        <w:rPr>
          <w:rFonts w:hint="eastAsia"/>
          <w:color w:val="auto"/>
          <w:sz w:val="22"/>
          <w:szCs w:val="22"/>
          <w:highlight w:val="none"/>
        </w:rPr>
        <w:t>日09:30（北京时间）</w:t>
      </w:r>
    </w:p>
    <w:p w14:paraId="760BA555">
      <w:pPr>
        <w:pStyle w:val="35"/>
        <w:spacing w:before="75" w:beforeAutospacing="0" w:after="75" w:afterAutospacing="0" w:line="440" w:lineRule="exact"/>
        <w:rPr>
          <w:color w:val="auto"/>
          <w:sz w:val="22"/>
          <w:szCs w:val="22"/>
          <w:highlight w:val="none"/>
        </w:rPr>
      </w:pPr>
      <w:r>
        <w:rPr>
          <w:rFonts w:hint="eastAsia"/>
          <w:color w:val="auto"/>
          <w:sz w:val="22"/>
          <w:szCs w:val="22"/>
          <w:highlight w:val="none"/>
        </w:rPr>
        <w:t>   投标地点（网址）：请登录政采云投标客户端投标</w:t>
      </w:r>
    </w:p>
    <w:p w14:paraId="0993DE8B">
      <w:pPr>
        <w:pStyle w:val="35"/>
        <w:spacing w:before="75" w:beforeAutospacing="0" w:after="75" w:afterAutospacing="0" w:line="440" w:lineRule="exact"/>
        <w:rPr>
          <w:color w:val="auto"/>
          <w:sz w:val="22"/>
          <w:szCs w:val="22"/>
          <w:highlight w:val="none"/>
        </w:rPr>
      </w:pPr>
      <w:r>
        <w:rPr>
          <w:rFonts w:hint="eastAsia"/>
          <w:color w:val="auto"/>
          <w:sz w:val="22"/>
          <w:szCs w:val="22"/>
          <w:highlight w:val="none"/>
        </w:rPr>
        <w:t>   开标时间：202</w:t>
      </w:r>
      <w:r>
        <w:rPr>
          <w:color w:val="auto"/>
          <w:sz w:val="22"/>
          <w:szCs w:val="22"/>
          <w:highlight w:val="none"/>
        </w:rPr>
        <w:t>5</w:t>
      </w:r>
      <w:r>
        <w:rPr>
          <w:rFonts w:hint="eastAsia"/>
          <w:color w:val="auto"/>
          <w:sz w:val="22"/>
          <w:szCs w:val="22"/>
          <w:highlight w:val="none"/>
        </w:rPr>
        <w:t>年</w:t>
      </w:r>
      <w:r>
        <w:rPr>
          <w:rFonts w:hint="eastAsia"/>
          <w:color w:val="auto"/>
          <w:sz w:val="22"/>
          <w:szCs w:val="22"/>
          <w:highlight w:val="none"/>
          <w:u w:val="single"/>
          <w:lang w:val="en-US" w:eastAsia="zh-CN"/>
        </w:rPr>
        <w:t>09</w:t>
      </w:r>
      <w:r>
        <w:rPr>
          <w:rFonts w:hint="eastAsia"/>
          <w:color w:val="auto"/>
          <w:sz w:val="22"/>
          <w:szCs w:val="22"/>
          <w:highlight w:val="none"/>
        </w:rPr>
        <w:t>月</w:t>
      </w:r>
      <w:r>
        <w:rPr>
          <w:rFonts w:hint="eastAsia"/>
          <w:color w:val="auto"/>
          <w:sz w:val="22"/>
          <w:szCs w:val="22"/>
          <w:highlight w:val="none"/>
          <w:u w:val="single"/>
          <w:lang w:val="en-US" w:eastAsia="zh-CN"/>
        </w:rPr>
        <w:t>04</w:t>
      </w:r>
      <w:bookmarkStart w:id="212" w:name="_GoBack"/>
      <w:bookmarkEnd w:id="212"/>
      <w:r>
        <w:rPr>
          <w:rFonts w:hint="eastAsia"/>
          <w:color w:val="auto"/>
          <w:sz w:val="22"/>
          <w:szCs w:val="22"/>
          <w:highlight w:val="none"/>
        </w:rPr>
        <w:t>日09:30（北京时间）</w:t>
      </w:r>
    </w:p>
    <w:p w14:paraId="0C5C5034">
      <w:pPr>
        <w:pStyle w:val="35"/>
        <w:spacing w:before="75" w:beforeAutospacing="0" w:after="75" w:afterAutospacing="0" w:line="440" w:lineRule="exact"/>
        <w:rPr>
          <w:color w:val="auto"/>
          <w:sz w:val="22"/>
          <w:szCs w:val="22"/>
          <w:highlight w:val="none"/>
        </w:rPr>
      </w:pPr>
      <w:r>
        <w:rPr>
          <w:rFonts w:hint="eastAsia"/>
          <w:color w:val="auto"/>
          <w:sz w:val="22"/>
          <w:szCs w:val="22"/>
          <w:highlight w:val="none"/>
        </w:rPr>
        <w:t>   开标地点（网址）：温州市瓯海区南塘一组团1幢1504室，政采云平台（https://www.zcygov.cn）在线评标</w:t>
      </w:r>
    </w:p>
    <w:p w14:paraId="4560B3F0">
      <w:pPr>
        <w:widowControl/>
        <w:spacing w:line="440" w:lineRule="exact"/>
        <w:rPr>
          <w:rFonts w:ascii="宋体" w:hAnsi="宋体" w:cs="宋体"/>
          <w:b/>
          <w:color w:val="auto"/>
          <w:sz w:val="22"/>
          <w:szCs w:val="22"/>
          <w:highlight w:val="none"/>
        </w:rPr>
      </w:pPr>
      <w:bookmarkStart w:id="16" w:name="_Toc28359007"/>
      <w:bookmarkStart w:id="17" w:name="_Toc28359084"/>
      <w:bookmarkStart w:id="18" w:name="_Toc35393794"/>
      <w:bookmarkStart w:id="19" w:name="_Toc35393625"/>
      <w:r>
        <w:rPr>
          <w:rFonts w:hint="eastAsia" w:ascii="宋体" w:hAnsi="宋体" w:cs="宋体"/>
          <w:b/>
          <w:color w:val="auto"/>
          <w:sz w:val="22"/>
          <w:szCs w:val="22"/>
          <w:highlight w:val="none"/>
        </w:rPr>
        <w:t>五、公告期限</w:t>
      </w:r>
      <w:bookmarkEnd w:id="16"/>
      <w:bookmarkEnd w:id="17"/>
      <w:bookmarkEnd w:id="18"/>
      <w:bookmarkEnd w:id="19"/>
    </w:p>
    <w:p w14:paraId="0D58825E">
      <w:pPr>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自本公告发布之日起5个工作日。</w:t>
      </w:r>
    </w:p>
    <w:p w14:paraId="239ED212">
      <w:pPr>
        <w:widowControl/>
        <w:spacing w:line="440" w:lineRule="exact"/>
        <w:rPr>
          <w:rFonts w:ascii="宋体" w:hAnsi="宋体" w:cs="宋体"/>
          <w:b/>
          <w:color w:val="auto"/>
          <w:sz w:val="22"/>
          <w:szCs w:val="22"/>
          <w:highlight w:val="none"/>
        </w:rPr>
      </w:pPr>
      <w:bookmarkStart w:id="20" w:name="_Toc35393626"/>
      <w:bookmarkStart w:id="21" w:name="_Toc35393795"/>
      <w:r>
        <w:rPr>
          <w:rFonts w:hint="eastAsia" w:ascii="宋体" w:hAnsi="宋体" w:cs="宋体"/>
          <w:b/>
          <w:color w:val="auto"/>
          <w:sz w:val="22"/>
          <w:szCs w:val="22"/>
          <w:highlight w:val="none"/>
        </w:rPr>
        <w:t>六、其他补充事宜</w:t>
      </w:r>
      <w:bookmarkEnd w:id="20"/>
      <w:bookmarkEnd w:id="21"/>
    </w:p>
    <w:p w14:paraId="0B06B645">
      <w:pPr>
        <w:spacing w:line="440" w:lineRule="exact"/>
        <w:rPr>
          <w:rFonts w:ascii="宋体" w:hAnsi="宋体"/>
          <w:color w:val="auto"/>
          <w:sz w:val="22"/>
          <w:szCs w:val="22"/>
          <w:highlight w:val="none"/>
        </w:rPr>
      </w:pPr>
      <w:bookmarkStart w:id="22" w:name="_Hlk47793939"/>
      <w:r>
        <w:rPr>
          <w:rFonts w:hint="eastAsia" w:ascii="宋体" w:hAnsi="宋体" w:cs="宋体"/>
          <w:color w:val="auto"/>
          <w:sz w:val="22"/>
          <w:szCs w:val="22"/>
          <w:highlight w:val="none"/>
        </w:rPr>
        <w:t xml:space="preserve">    </w:t>
      </w:r>
      <w:r>
        <w:rPr>
          <w:rFonts w:hint="eastAsia" w:ascii="宋体" w:hAnsi="宋体"/>
          <w:color w:val="auto"/>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363B89E">
      <w:pPr>
        <w:widowControl/>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8989BDA">
      <w:pPr>
        <w:widowControl/>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18A4425">
      <w:pPr>
        <w:widowControl/>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4.其他事项：（1）本项目实行电子投标，应按照本项目招标文件和政采云平台的要求编制、加密并递交投标文件。供应商在使用系统进行投标的过程中遇到涉及平台使用的任何问题，可致电政采云平台技术支持热线咨询，联系方式：400-881-7190。 （2）投标人应在开标前完成CA数字证书办理。（办理流程详见：http://www.zjzfcg.gov.cn/bidClientTemplate/2019-05-27/12945.html）。完成CA数字证书办理预计一周左右，建议各投标人抓紧时间办理。 (3)投标人通过政采云平台电子投标工具制作投标文件，电子投标工具请供应商自行前往浙江省政府采购网下载并安装，（下载网址：http://www.zjzfcg.gov.cn/bidClientTemplate/2019-05-27/12946.html），电子投标具体流程详见（网址：</w:t>
      </w:r>
      <w:r>
        <w:rPr>
          <w:color w:val="auto"/>
          <w:highlight w:val="none"/>
        </w:rPr>
        <w:fldChar w:fldCharType="begin"/>
      </w:r>
      <w:r>
        <w:rPr>
          <w:color w:val="auto"/>
          <w:highlight w:val="none"/>
        </w:rPr>
        <w:instrText xml:space="preserve"> HYPERLINK "https://help.zcygov.cn/web/site_2/2018/12/25/2547.html）。" </w:instrText>
      </w:r>
      <w:r>
        <w:rPr>
          <w:color w:val="auto"/>
          <w:highlight w:val="none"/>
        </w:rPr>
        <w:fldChar w:fldCharType="separate"/>
      </w:r>
      <w:r>
        <w:rPr>
          <w:rStyle w:val="47"/>
          <w:rFonts w:hint="eastAsia" w:ascii="宋体" w:hAnsi="宋体" w:cs="宋体"/>
          <w:color w:val="auto"/>
          <w:sz w:val="22"/>
          <w:szCs w:val="22"/>
          <w:highlight w:val="none"/>
        </w:rPr>
        <w:t>https://help.zcygov.cn/web/site_2/2018/12/25/2547.html）。</w:t>
      </w:r>
      <w:r>
        <w:rPr>
          <w:rStyle w:val="47"/>
          <w:rFonts w:hint="eastAsia" w:ascii="宋体" w:hAnsi="宋体" w:cs="宋体"/>
          <w:color w:val="auto"/>
          <w:sz w:val="22"/>
          <w:szCs w:val="22"/>
          <w:highlight w:val="none"/>
        </w:rPr>
        <w:fldChar w:fldCharType="end"/>
      </w:r>
    </w:p>
    <w:p w14:paraId="4A664CB4">
      <w:pPr>
        <w:widowControl/>
        <w:spacing w:line="440" w:lineRule="exact"/>
        <w:rPr>
          <w:rFonts w:ascii="宋体" w:hAnsi="宋体" w:cs="宋体"/>
          <w:color w:val="auto"/>
          <w:sz w:val="22"/>
          <w:szCs w:val="22"/>
          <w:highlight w:val="none"/>
        </w:rPr>
      </w:pPr>
      <w:r>
        <w:rPr>
          <w:rFonts w:hint="eastAsia" w:ascii="宋体" w:hAnsi="宋体" w:cs="宋体"/>
          <w:b/>
          <w:color w:val="auto"/>
          <w:sz w:val="22"/>
          <w:szCs w:val="22"/>
          <w:highlight w:val="none"/>
        </w:rPr>
        <w:t>七、对本次招标提出询问、质疑、投诉，请按以下方式联系</w:t>
      </w:r>
    </w:p>
    <w:bookmarkEnd w:id="22"/>
    <w:p w14:paraId="73B5336E">
      <w:pPr>
        <w:widowControl/>
        <w:spacing w:line="44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　　1.采购人信息</w:t>
      </w:r>
    </w:p>
    <w:p w14:paraId="2266953F">
      <w:pPr>
        <w:widowControl/>
        <w:spacing w:line="440" w:lineRule="exact"/>
        <w:jc w:val="left"/>
        <w:rPr>
          <w:rFonts w:ascii="宋体" w:hAnsi="宋体" w:cs="宋体"/>
          <w:color w:val="auto"/>
          <w:szCs w:val="22"/>
          <w:highlight w:val="none"/>
          <w:lang w:bidi="ar"/>
        </w:rPr>
      </w:pPr>
      <w:r>
        <w:rPr>
          <w:rFonts w:hint="eastAsia" w:ascii="宋体" w:hAnsi="宋体" w:cs="宋体"/>
          <w:color w:val="auto"/>
          <w:szCs w:val="22"/>
          <w:highlight w:val="none"/>
          <w:lang w:bidi="ar"/>
        </w:rPr>
        <w:t>    名    称：浙江安防职业技术学院</w:t>
      </w:r>
    </w:p>
    <w:p w14:paraId="65477203">
      <w:pPr>
        <w:widowControl/>
        <w:spacing w:line="440" w:lineRule="exact"/>
        <w:jc w:val="left"/>
        <w:rPr>
          <w:rFonts w:ascii="宋体" w:hAnsi="宋体" w:cs="宋体"/>
          <w:color w:val="auto"/>
          <w:szCs w:val="22"/>
          <w:highlight w:val="none"/>
          <w:lang w:bidi="ar"/>
        </w:rPr>
      </w:pPr>
      <w:r>
        <w:rPr>
          <w:rFonts w:hint="eastAsia" w:ascii="宋体" w:hAnsi="宋体" w:cs="宋体"/>
          <w:color w:val="auto"/>
          <w:szCs w:val="22"/>
          <w:highlight w:val="none"/>
          <w:lang w:bidi="ar"/>
        </w:rPr>
        <w:t>    地    址：</w:t>
      </w:r>
      <w:r>
        <w:rPr>
          <w:rFonts w:hint="eastAsia" w:ascii="宋体" w:hAnsi="宋体" w:cs="宋体"/>
          <w:color w:val="auto"/>
          <w:szCs w:val="22"/>
          <w:highlight w:val="none"/>
        </w:rPr>
        <w:t>温州市瓯海大道2555号</w:t>
      </w:r>
    </w:p>
    <w:p w14:paraId="24BCFC03">
      <w:pPr>
        <w:widowControl/>
        <w:spacing w:line="440" w:lineRule="exact"/>
        <w:jc w:val="left"/>
        <w:rPr>
          <w:rFonts w:ascii="宋体" w:hAnsi="宋体" w:cs="宋体"/>
          <w:color w:val="auto"/>
          <w:szCs w:val="22"/>
          <w:highlight w:val="none"/>
          <w:lang w:bidi="ar"/>
        </w:rPr>
      </w:pPr>
      <w:r>
        <w:rPr>
          <w:rFonts w:hint="eastAsia" w:ascii="宋体" w:hAnsi="宋体" w:cs="宋体"/>
          <w:color w:val="auto"/>
          <w:szCs w:val="22"/>
          <w:highlight w:val="none"/>
          <w:lang w:bidi="ar"/>
        </w:rPr>
        <w:t>    传    真：/</w:t>
      </w:r>
    </w:p>
    <w:p w14:paraId="73A1BEED">
      <w:pPr>
        <w:widowControl/>
        <w:spacing w:line="440" w:lineRule="exact"/>
        <w:jc w:val="left"/>
        <w:rPr>
          <w:rFonts w:ascii="宋体" w:hAnsi="宋体" w:cs="宋体"/>
          <w:color w:val="auto"/>
          <w:szCs w:val="22"/>
          <w:highlight w:val="none"/>
        </w:rPr>
      </w:pPr>
      <w:r>
        <w:rPr>
          <w:rFonts w:hint="eastAsia" w:ascii="宋体" w:hAnsi="宋体" w:cs="宋体"/>
          <w:color w:val="auto"/>
          <w:szCs w:val="22"/>
          <w:highlight w:val="none"/>
          <w:lang w:bidi="ar"/>
        </w:rPr>
        <w:t>   </w:t>
      </w:r>
      <w:bookmarkStart w:id="23" w:name="_Hlk47793869"/>
      <w:r>
        <w:rPr>
          <w:rFonts w:hint="eastAsia" w:ascii="宋体" w:hAnsi="宋体" w:cs="宋体"/>
          <w:color w:val="auto"/>
          <w:szCs w:val="22"/>
          <w:highlight w:val="none"/>
          <w:lang w:bidi="ar"/>
        </w:rPr>
        <w:t xml:space="preserve"> </w:t>
      </w:r>
      <w:r>
        <w:rPr>
          <w:rFonts w:hint="eastAsia" w:ascii="宋体" w:hAnsi="宋体" w:cs="宋体"/>
          <w:color w:val="auto"/>
          <w:szCs w:val="22"/>
          <w:highlight w:val="none"/>
        </w:rPr>
        <w:t>项目联系人（询问）：洪老师</w:t>
      </w:r>
    </w:p>
    <w:p w14:paraId="2B4F8D6D">
      <w:pPr>
        <w:widowControl/>
        <w:spacing w:line="440" w:lineRule="exact"/>
        <w:jc w:val="left"/>
        <w:rPr>
          <w:rFonts w:ascii="宋体" w:hAnsi="宋体" w:cs="宋体"/>
          <w:color w:val="auto"/>
          <w:szCs w:val="22"/>
          <w:highlight w:val="none"/>
        </w:rPr>
      </w:pPr>
      <w:r>
        <w:rPr>
          <w:rFonts w:hint="eastAsia" w:ascii="宋体" w:hAnsi="宋体" w:cs="宋体"/>
          <w:color w:val="auto"/>
          <w:szCs w:val="22"/>
          <w:highlight w:val="none"/>
        </w:rPr>
        <w:t>    项目联系方式（询问）：0577-85102826</w:t>
      </w:r>
    </w:p>
    <w:p w14:paraId="62184B40">
      <w:pPr>
        <w:widowControl/>
        <w:spacing w:line="440" w:lineRule="exact"/>
        <w:jc w:val="left"/>
        <w:rPr>
          <w:rFonts w:ascii="宋体" w:hAnsi="宋体" w:cs="宋体"/>
          <w:color w:val="auto"/>
          <w:szCs w:val="22"/>
          <w:highlight w:val="none"/>
        </w:rPr>
      </w:pPr>
      <w:r>
        <w:rPr>
          <w:rFonts w:hint="eastAsia" w:ascii="宋体" w:hAnsi="宋体" w:cs="宋体"/>
          <w:color w:val="auto"/>
          <w:szCs w:val="22"/>
          <w:highlight w:val="none"/>
        </w:rPr>
        <w:t>    质疑联系人：包老师</w:t>
      </w:r>
    </w:p>
    <w:p w14:paraId="66F27665">
      <w:pPr>
        <w:widowControl/>
        <w:spacing w:line="440" w:lineRule="exact"/>
        <w:jc w:val="left"/>
        <w:rPr>
          <w:rFonts w:ascii="宋体" w:hAnsi="宋体" w:cs="宋体"/>
          <w:color w:val="auto"/>
          <w:szCs w:val="22"/>
          <w:highlight w:val="none"/>
        </w:rPr>
      </w:pPr>
      <w:r>
        <w:rPr>
          <w:rFonts w:hint="eastAsia" w:ascii="宋体" w:hAnsi="宋体" w:cs="宋体"/>
          <w:color w:val="auto"/>
          <w:szCs w:val="22"/>
          <w:highlight w:val="none"/>
        </w:rPr>
        <w:t>    质疑联系方式：0577-85103996</w:t>
      </w:r>
    </w:p>
    <w:bookmarkEnd w:id="23"/>
    <w:p w14:paraId="17DF2D01">
      <w:pPr>
        <w:widowControl/>
        <w:spacing w:line="44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2.采购代理机构信息</w:t>
      </w:r>
    </w:p>
    <w:p w14:paraId="00B2AEE4">
      <w:pPr>
        <w:widowControl/>
        <w:spacing w:line="44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    名    称：温州正风招标代理有限公司</w:t>
      </w:r>
    </w:p>
    <w:p w14:paraId="2FA5B222">
      <w:pPr>
        <w:widowControl/>
        <w:spacing w:line="44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    地    址：温州市瓯海区南塘一组团1幢（商务楼）1504室</w:t>
      </w:r>
    </w:p>
    <w:p w14:paraId="0FC25863">
      <w:pPr>
        <w:widowControl/>
        <w:spacing w:line="44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    项目联系人（询问）：刘慧聪、诸葛晓斌</w:t>
      </w:r>
    </w:p>
    <w:p w14:paraId="4C30029D">
      <w:pPr>
        <w:widowControl/>
        <w:spacing w:line="440" w:lineRule="exact"/>
        <w:ind w:firstLine="660" w:firstLineChars="300"/>
        <w:jc w:val="left"/>
        <w:rPr>
          <w:rFonts w:ascii="宋体" w:hAnsi="宋体" w:cs="宋体"/>
          <w:color w:val="auto"/>
          <w:sz w:val="22"/>
          <w:szCs w:val="22"/>
          <w:highlight w:val="none"/>
        </w:rPr>
      </w:pPr>
      <w:r>
        <w:rPr>
          <w:rFonts w:hint="eastAsia" w:ascii="宋体" w:hAnsi="宋体" w:cs="宋体"/>
          <w:color w:val="auto"/>
          <w:sz w:val="22"/>
          <w:szCs w:val="22"/>
          <w:highlight w:val="none"/>
        </w:rPr>
        <w:t>项目联系方式（询问）：15858517848、13506646781</w:t>
      </w:r>
    </w:p>
    <w:p w14:paraId="3CF28AB1">
      <w:pPr>
        <w:widowControl/>
        <w:spacing w:line="440" w:lineRule="exact"/>
        <w:ind w:firstLine="660"/>
        <w:jc w:val="left"/>
        <w:rPr>
          <w:rFonts w:ascii="宋体" w:hAnsi="宋体" w:cs="宋体"/>
          <w:color w:val="auto"/>
          <w:sz w:val="22"/>
          <w:szCs w:val="22"/>
          <w:highlight w:val="none"/>
        </w:rPr>
      </w:pPr>
      <w:r>
        <w:rPr>
          <w:rFonts w:hint="eastAsia" w:ascii="宋体" w:hAnsi="宋体" w:cs="宋体"/>
          <w:color w:val="auto"/>
          <w:sz w:val="22"/>
          <w:szCs w:val="22"/>
          <w:highlight w:val="none"/>
        </w:rPr>
        <w:t>质疑联系人：胡女士</w:t>
      </w:r>
    </w:p>
    <w:p w14:paraId="72174A90">
      <w:pPr>
        <w:widowControl/>
        <w:spacing w:line="440" w:lineRule="exact"/>
        <w:ind w:firstLine="660"/>
        <w:jc w:val="left"/>
        <w:rPr>
          <w:rFonts w:ascii="宋体" w:hAnsi="宋体" w:cs="宋体"/>
          <w:color w:val="auto"/>
          <w:sz w:val="22"/>
          <w:szCs w:val="22"/>
          <w:highlight w:val="none"/>
        </w:rPr>
      </w:pPr>
      <w:r>
        <w:rPr>
          <w:rFonts w:hint="eastAsia" w:ascii="宋体" w:hAnsi="宋体" w:cs="宋体"/>
          <w:color w:val="auto"/>
          <w:sz w:val="22"/>
          <w:szCs w:val="22"/>
          <w:highlight w:val="none"/>
        </w:rPr>
        <w:t>质疑联系方式：</w:t>
      </w:r>
      <w:r>
        <w:rPr>
          <w:rFonts w:ascii="宋体" w:hAnsi="宋体" w:cs="宋体"/>
          <w:color w:val="auto"/>
          <w:sz w:val="22"/>
          <w:szCs w:val="22"/>
          <w:highlight w:val="none"/>
        </w:rPr>
        <w:t>0577</w:t>
      </w:r>
      <w:r>
        <w:rPr>
          <w:rFonts w:hint="eastAsia" w:ascii="宋体" w:hAnsi="宋体" w:cs="宋体"/>
          <w:color w:val="auto"/>
          <w:sz w:val="22"/>
          <w:szCs w:val="22"/>
          <w:highlight w:val="none"/>
        </w:rPr>
        <w:t>-</w:t>
      </w:r>
      <w:r>
        <w:rPr>
          <w:rFonts w:ascii="宋体" w:hAnsi="宋体" w:cs="宋体"/>
          <w:color w:val="auto"/>
          <w:sz w:val="22"/>
          <w:szCs w:val="22"/>
          <w:highlight w:val="none"/>
        </w:rPr>
        <w:t>88119278</w:t>
      </w:r>
    </w:p>
    <w:p w14:paraId="16F6E6EC">
      <w:pPr>
        <w:adjustRightInd w:val="0"/>
        <w:snapToGrid w:val="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3.同级政府采购监督管理部门</w:t>
      </w:r>
    </w:p>
    <w:p w14:paraId="2FA5E605">
      <w:pPr>
        <w:adjustRightInd w:val="0"/>
        <w:snapToGrid w:val="0"/>
        <w:spacing w:line="440" w:lineRule="exact"/>
        <w:ind w:firstLine="660"/>
        <w:rPr>
          <w:rFonts w:ascii="宋体" w:hAnsi="宋体" w:cs="宋体"/>
          <w:color w:val="auto"/>
          <w:sz w:val="22"/>
          <w:szCs w:val="22"/>
          <w:highlight w:val="none"/>
        </w:rPr>
      </w:pPr>
      <w:r>
        <w:rPr>
          <w:rFonts w:hint="eastAsia" w:ascii="宋体" w:hAnsi="宋体" w:cs="宋体"/>
          <w:color w:val="auto"/>
          <w:sz w:val="22"/>
          <w:szCs w:val="22"/>
          <w:highlight w:val="none"/>
        </w:rPr>
        <w:t>名 称：温州市财政局（浙江省政府采购行政裁决服务中心（温州））</w:t>
      </w:r>
    </w:p>
    <w:p w14:paraId="1FF9F1F8">
      <w:pPr>
        <w:adjustRightInd w:val="0"/>
        <w:snapToGrid w:val="0"/>
        <w:spacing w:line="440" w:lineRule="exact"/>
        <w:ind w:firstLine="660"/>
        <w:rPr>
          <w:rFonts w:ascii="宋体" w:hAnsi="宋体" w:cs="宋体"/>
          <w:color w:val="auto"/>
          <w:sz w:val="22"/>
          <w:szCs w:val="22"/>
          <w:highlight w:val="none"/>
        </w:rPr>
      </w:pPr>
      <w:r>
        <w:rPr>
          <w:rFonts w:hint="eastAsia" w:ascii="宋体" w:hAnsi="宋体" w:cs="宋体"/>
          <w:color w:val="auto"/>
          <w:sz w:val="22"/>
          <w:szCs w:val="22"/>
          <w:highlight w:val="none"/>
        </w:rPr>
        <w:t>地 址：温州市鹿城区滨江街道瓯江路展银大厦1606室</w:t>
      </w:r>
    </w:p>
    <w:p w14:paraId="44FDC209">
      <w:pPr>
        <w:adjustRightInd w:val="0"/>
        <w:snapToGrid w:val="0"/>
        <w:spacing w:line="440" w:lineRule="exact"/>
        <w:ind w:firstLine="660"/>
        <w:rPr>
          <w:rFonts w:ascii="宋体" w:hAnsi="宋体" w:cs="宋体"/>
          <w:color w:val="auto"/>
          <w:sz w:val="22"/>
          <w:szCs w:val="22"/>
          <w:highlight w:val="none"/>
        </w:rPr>
      </w:pPr>
      <w:r>
        <w:rPr>
          <w:rFonts w:hint="eastAsia" w:ascii="宋体" w:hAnsi="宋体" w:cs="宋体"/>
          <w:color w:val="auto"/>
          <w:sz w:val="22"/>
          <w:szCs w:val="22"/>
          <w:highlight w:val="none"/>
        </w:rPr>
        <w:t>传 真：/</w:t>
      </w:r>
    </w:p>
    <w:p w14:paraId="0F23EFC3">
      <w:pPr>
        <w:adjustRightInd w:val="0"/>
        <w:snapToGrid w:val="0"/>
        <w:spacing w:line="440" w:lineRule="exact"/>
        <w:ind w:firstLine="660"/>
        <w:rPr>
          <w:rFonts w:ascii="宋体" w:hAnsi="宋体" w:cs="宋体"/>
          <w:color w:val="auto"/>
          <w:sz w:val="22"/>
          <w:szCs w:val="22"/>
          <w:highlight w:val="none"/>
        </w:rPr>
      </w:pPr>
      <w:r>
        <w:rPr>
          <w:rFonts w:hint="eastAsia" w:ascii="宋体" w:hAnsi="宋体" w:cs="宋体"/>
          <w:color w:val="auto"/>
          <w:sz w:val="22"/>
          <w:szCs w:val="22"/>
          <w:highlight w:val="none"/>
        </w:rPr>
        <w:t>联 系 人：李老师、王老师</w:t>
      </w:r>
    </w:p>
    <w:p w14:paraId="79155B7D">
      <w:pPr>
        <w:adjustRightInd w:val="0"/>
        <w:snapToGrid w:val="0"/>
        <w:spacing w:line="440" w:lineRule="exact"/>
        <w:ind w:firstLine="660"/>
        <w:rPr>
          <w:rFonts w:ascii="宋体" w:hAnsi="宋体" w:cs="宋体"/>
          <w:color w:val="auto"/>
          <w:sz w:val="22"/>
          <w:szCs w:val="22"/>
          <w:highlight w:val="none"/>
        </w:rPr>
      </w:pPr>
      <w:r>
        <w:rPr>
          <w:rFonts w:hint="eastAsia" w:ascii="宋体" w:hAnsi="宋体" w:cs="宋体"/>
          <w:color w:val="auto"/>
          <w:sz w:val="22"/>
          <w:szCs w:val="22"/>
          <w:highlight w:val="none"/>
        </w:rPr>
        <w:t>监督投诉电话：0577-88501561、0577-85501562</w:t>
      </w:r>
    </w:p>
    <w:p w14:paraId="7397008B">
      <w:pPr>
        <w:adjustRightInd w:val="0"/>
        <w:snapToGrid w:val="0"/>
        <w:spacing w:line="440" w:lineRule="exact"/>
        <w:ind w:firstLine="660"/>
        <w:rPr>
          <w:rFonts w:ascii="宋体" w:hAnsi="宋体" w:cs="宋体"/>
          <w:color w:val="auto"/>
          <w:sz w:val="22"/>
          <w:szCs w:val="22"/>
          <w:highlight w:val="none"/>
        </w:rPr>
      </w:pPr>
    </w:p>
    <w:p w14:paraId="6B267076">
      <w:pPr>
        <w:adjustRightInd w:val="0"/>
        <w:snapToGrid w:val="0"/>
        <w:spacing w:line="440" w:lineRule="exact"/>
        <w:ind w:firstLine="660"/>
        <w:rPr>
          <w:rFonts w:ascii="宋体" w:hAnsi="宋体" w:cs="宋体"/>
          <w:color w:val="auto"/>
          <w:sz w:val="22"/>
          <w:szCs w:val="22"/>
          <w:highlight w:val="none"/>
        </w:rPr>
      </w:pPr>
      <w:r>
        <w:rPr>
          <w:rFonts w:hint="eastAsia" w:ascii="宋体" w:hAnsi="宋体" w:cs="宋体"/>
          <w:color w:val="auto"/>
          <w:sz w:val="22"/>
          <w:szCs w:val="22"/>
          <w:highlight w:val="none"/>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51ABFA83">
      <w:pPr>
        <w:pStyle w:val="56"/>
        <w:ind w:firstLine="560"/>
        <w:rPr>
          <w:rFonts w:ascii="Times New Roman" w:eastAsia="宋体"/>
          <w:color w:val="auto"/>
          <w:highlight w:val="none"/>
        </w:rPr>
      </w:pPr>
    </w:p>
    <w:p w14:paraId="7FD3C3A2">
      <w:pPr>
        <w:pStyle w:val="2"/>
        <w:spacing w:line="600" w:lineRule="exact"/>
        <w:jc w:val="center"/>
        <w:rPr>
          <w:rFonts w:ascii="黑体" w:hAnsi="黑体" w:eastAsia="黑体"/>
          <w:bCs/>
          <w:color w:val="auto"/>
          <w:sz w:val="36"/>
          <w:szCs w:val="36"/>
          <w:highlight w:val="none"/>
        </w:rPr>
      </w:pPr>
      <w:bookmarkStart w:id="24" w:name="_Toc28467"/>
      <w:bookmarkStart w:id="25" w:name="_Toc230773774"/>
      <w:r>
        <w:rPr>
          <w:rFonts w:hint="eastAsia" w:ascii="黑体" w:hAnsi="黑体" w:eastAsia="黑体"/>
          <w:bCs/>
          <w:color w:val="auto"/>
          <w:sz w:val="36"/>
          <w:szCs w:val="36"/>
          <w:highlight w:val="none"/>
        </w:rPr>
        <w:t>第二部分   投标人须知</w:t>
      </w:r>
      <w:bookmarkEnd w:id="24"/>
      <w:bookmarkEnd w:id="25"/>
    </w:p>
    <w:p w14:paraId="238E884F">
      <w:pPr>
        <w:pStyle w:val="3"/>
        <w:tabs>
          <w:tab w:val="left" w:pos="840"/>
        </w:tabs>
        <w:spacing w:line="680" w:lineRule="exact"/>
        <w:jc w:val="center"/>
        <w:rPr>
          <w:rFonts w:ascii="宋体" w:hAnsi="宋体" w:eastAsia="宋体" w:cs="宋体"/>
          <w:color w:val="auto"/>
          <w:sz w:val="28"/>
          <w:szCs w:val="28"/>
          <w:highlight w:val="none"/>
        </w:rPr>
      </w:pPr>
      <w:bookmarkStart w:id="26" w:name="_Toc27928"/>
      <w:bookmarkStart w:id="27" w:name="_Toc486600281"/>
      <w:r>
        <w:rPr>
          <w:rFonts w:hint="eastAsia" w:ascii="宋体" w:hAnsi="宋体" w:eastAsia="宋体" w:cs="宋体"/>
          <w:color w:val="auto"/>
          <w:sz w:val="28"/>
          <w:szCs w:val="28"/>
          <w:highlight w:val="none"/>
        </w:rPr>
        <w:t>投标人须知前附表</w:t>
      </w:r>
      <w:bookmarkEnd w:id="26"/>
      <w:bookmarkEnd w:id="27"/>
    </w:p>
    <w:tbl>
      <w:tblPr>
        <w:tblStyle w:val="39"/>
        <w:tblW w:w="10008" w:type="dxa"/>
        <w:tblInd w:w="0" w:type="dxa"/>
        <w:tblLayout w:type="fixed"/>
        <w:tblCellMar>
          <w:top w:w="0" w:type="dxa"/>
          <w:left w:w="108" w:type="dxa"/>
          <w:bottom w:w="0" w:type="dxa"/>
          <w:right w:w="108" w:type="dxa"/>
        </w:tblCellMar>
      </w:tblPr>
      <w:tblGrid>
        <w:gridCol w:w="1001"/>
        <w:gridCol w:w="1712"/>
        <w:gridCol w:w="7295"/>
      </w:tblGrid>
      <w:tr w14:paraId="2126C80B">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4DE7DA12">
            <w:pPr>
              <w:spacing w:line="36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1712" w:type="dxa"/>
            <w:tcBorders>
              <w:top w:val="single" w:color="auto" w:sz="4" w:space="0"/>
              <w:left w:val="single" w:color="auto" w:sz="4" w:space="0"/>
              <w:bottom w:val="single" w:color="auto" w:sz="4" w:space="0"/>
              <w:right w:val="single" w:color="auto" w:sz="4" w:space="0"/>
            </w:tcBorders>
            <w:vAlign w:val="center"/>
          </w:tcPr>
          <w:p w14:paraId="586C50CC">
            <w:pPr>
              <w:spacing w:line="36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条款名称</w:t>
            </w:r>
          </w:p>
        </w:tc>
        <w:tc>
          <w:tcPr>
            <w:tcW w:w="7295" w:type="dxa"/>
            <w:tcBorders>
              <w:top w:val="single" w:color="auto" w:sz="4" w:space="0"/>
              <w:left w:val="single" w:color="auto" w:sz="4" w:space="0"/>
              <w:bottom w:val="single" w:color="auto" w:sz="4" w:space="0"/>
              <w:right w:val="single" w:color="auto" w:sz="4" w:space="0"/>
            </w:tcBorders>
            <w:vAlign w:val="center"/>
          </w:tcPr>
          <w:p w14:paraId="29C09CF5">
            <w:pPr>
              <w:spacing w:line="36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编列内容</w:t>
            </w:r>
          </w:p>
        </w:tc>
      </w:tr>
      <w:tr w14:paraId="2CD31CC4">
        <w:tblPrEx>
          <w:tblCellMar>
            <w:top w:w="0" w:type="dxa"/>
            <w:left w:w="108" w:type="dxa"/>
            <w:bottom w:w="0" w:type="dxa"/>
            <w:right w:w="108" w:type="dxa"/>
          </w:tblCellMar>
        </w:tblPrEx>
        <w:trPr>
          <w:trHeight w:val="467" w:hRule="atLeast"/>
        </w:trPr>
        <w:tc>
          <w:tcPr>
            <w:tcW w:w="1001" w:type="dxa"/>
            <w:tcBorders>
              <w:top w:val="single" w:color="auto" w:sz="4" w:space="0"/>
              <w:left w:val="single" w:color="auto" w:sz="4" w:space="0"/>
              <w:bottom w:val="single" w:color="auto" w:sz="4" w:space="0"/>
              <w:right w:val="single" w:color="auto" w:sz="4" w:space="0"/>
            </w:tcBorders>
            <w:vAlign w:val="center"/>
          </w:tcPr>
          <w:p w14:paraId="44840DEC">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1712" w:type="dxa"/>
            <w:tcBorders>
              <w:top w:val="single" w:color="auto" w:sz="4" w:space="0"/>
              <w:left w:val="single" w:color="auto" w:sz="4" w:space="0"/>
              <w:bottom w:val="single" w:color="auto" w:sz="4" w:space="0"/>
              <w:right w:val="single" w:color="auto" w:sz="4" w:space="0"/>
            </w:tcBorders>
            <w:vAlign w:val="center"/>
          </w:tcPr>
          <w:p w14:paraId="396FE93F">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项目名称、编号</w:t>
            </w:r>
          </w:p>
        </w:tc>
        <w:tc>
          <w:tcPr>
            <w:tcW w:w="7295" w:type="dxa"/>
            <w:tcBorders>
              <w:top w:val="single" w:color="auto" w:sz="4" w:space="0"/>
              <w:left w:val="single" w:color="auto" w:sz="4" w:space="0"/>
              <w:bottom w:val="single" w:color="auto" w:sz="4" w:space="0"/>
              <w:right w:val="single" w:color="auto" w:sz="4" w:space="0"/>
            </w:tcBorders>
            <w:vAlign w:val="center"/>
          </w:tcPr>
          <w:p w14:paraId="4E6256C1">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见第一部分“招标公告”</w:t>
            </w:r>
          </w:p>
        </w:tc>
      </w:tr>
      <w:tr w14:paraId="4AC1095D">
        <w:tblPrEx>
          <w:tblCellMar>
            <w:top w:w="0" w:type="dxa"/>
            <w:left w:w="108" w:type="dxa"/>
            <w:bottom w:w="0" w:type="dxa"/>
            <w:right w:w="108" w:type="dxa"/>
          </w:tblCellMar>
        </w:tblPrEx>
        <w:trPr>
          <w:trHeight w:val="488" w:hRule="atLeast"/>
        </w:trPr>
        <w:tc>
          <w:tcPr>
            <w:tcW w:w="1001" w:type="dxa"/>
            <w:tcBorders>
              <w:top w:val="single" w:color="auto" w:sz="4" w:space="0"/>
              <w:left w:val="single" w:color="auto" w:sz="4" w:space="0"/>
              <w:bottom w:val="single" w:color="auto" w:sz="4" w:space="0"/>
              <w:right w:val="single" w:color="auto" w:sz="4" w:space="0"/>
            </w:tcBorders>
            <w:vAlign w:val="center"/>
          </w:tcPr>
          <w:p w14:paraId="2C6968EE">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1712" w:type="dxa"/>
            <w:tcBorders>
              <w:top w:val="single" w:color="auto" w:sz="4" w:space="0"/>
              <w:left w:val="single" w:color="auto" w:sz="4" w:space="0"/>
              <w:bottom w:val="single" w:color="auto" w:sz="4" w:space="0"/>
              <w:right w:val="single" w:color="auto" w:sz="4" w:space="0"/>
            </w:tcBorders>
            <w:vAlign w:val="center"/>
          </w:tcPr>
          <w:p w14:paraId="09C033A2">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采购内容</w:t>
            </w:r>
          </w:p>
        </w:tc>
        <w:tc>
          <w:tcPr>
            <w:tcW w:w="7295" w:type="dxa"/>
            <w:tcBorders>
              <w:top w:val="single" w:color="auto" w:sz="4" w:space="0"/>
              <w:left w:val="single" w:color="auto" w:sz="4" w:space="0"/>
              <w:bottom w:val="single" w:color="auto" w:sz="4" w:space="0"/>
              <w:right w:val="single" w:color="auto" w:sz="4" w:space="0"/>
            </w:tcBorders>
            <w:vAlign w:val="center"/>
          </w:tcPr>
          <w:p w14:paraId="146D860B">
            <w:pPr>
              <w:tabs>
                <w:tab w:val="left" w:pos="851"/>
                <w:tab w:val="center" w:pos="5812"/>
                <w:tab w:val="decimal" w:pos="6804"/>
                <w:tab w:val="decimal" w:pos="8789"/>
              </w:tabs>
              <w:adjustRightInd w:val="0"/>
              <w:snapToGrid w:val="0"/>
              <w:spacing w:line="360" w:lineRule="exact"/>
              <w:rPr>
                <w:color w:val="auto"/>
                <w:sz w:val="22"/>
                <w:szCs w:val="22"/>
                <w:highlight w:val="none"/>
              </w:rPr>
            </w:pPr>
            <w:r>
              <w:rPr>
                <w:rFonts w:hint="eastAsia" w:ascii="宋体" w:hAnsi="宋体" w:cs="宋体"/>
                <w:color w:val="auto"/>
                <w:sz w:val="22"/>
                <w:szCs w:val="22"/>
                <w:highlight w:val="none"/>
              </w:rPr>
              <w:t>见第一部分“招标公告”</w:t>
            </w:r>
          </w:p>
        </w:tc>
      </w:tr>
      <w:tr w14:paraId="4055A4F5">
        <w:tblPrEx>
          <w:tblCellMar>
            <w:top w:w="0" w:type="dxa"/>
            <w:left w:w="108" w:type="dxa"/>
            <w:bottom w:w="0" w:type="dxa"/>
            <w:right w:w="108" w:type="dxa"/>
          </w:tblCellMar>
        </w:tblPrEx>
        <w:trPr>
          <w:trHeight w:val="573" w:hRule="atLeast"/>
        </w:trPr>
        <w:tc>
          <w:tcPr>
            <w:tcW w:w="1001" w:type="dxa"/>
            <w:tcBorders>
              <w:top w:val="single" w:color="auto" w:sz="4" w:space="0"/>
              <w:left w:val="single" w:color="auto" w:sz="4" w:space="0"/>
              <w:bottom w:val="single" w:color="auto" w:sz="4" w:space="0"/>
              <w:right w:val="single" w:color="auto" w:sz="4" w:space="0"/>
            </w:tcBorders>
            <w:vAlign w:val="center"/>
          </w:tcPr>
          <w:p w14:paraId="57828D69">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1712" w:type="dxa"/>
            <w:tcBorders>
              <w:top w:val="single" w:color="auto" w:sz="4" w:space="0"/>
              <w:left w:val="single" w:color="auto" w:sz="4" w:space="0"/>
              <w:bottom w:val="single" w:color="auto" w:sz="4" w:space="0"/>
              <w:right w:val="single" w:color="auto" w:sz="4" w:space="0"/>
            </w:tcBorders>
            <w:vAlign w:val="center"/>
          </w:tcPr>
          <w:p w14:paraId="63938906">
            <w:pPr>
              <w:spacing w:line="360" w:lineRule="exact"/>
              <w:jc w:val="center"/>
              <w:rPr>
                <w:rFonts w:hAnsi="宋体"/>
                <w:b/>
                <w:bCs/>
                <w:color w:val="auto"/>
                <w:sz w:val="22"/>
                <w:szCs w:val="22"/>
                <w:highlight w:val="none"/>
              </w:rPr>
            </w:pPr>
            <w:r>
              <w:rPr>
                <w:rFonts w:hint="eastAsia" w:ascii="宋体" w:hAnsi="宋体" w:cs="宋体"/>
                <w:color w:val="auto"/>
                <w:sz w:val="22"/>
                <w:szCs w:val="22"/>
                <w:highlight w:val="none"/>
              </w:rPr>
              <w:t>采购预算</w:t>
            </w:r>
          </w:p>
        </w:tc>
        <w:tc>
          <w:tcPr>
            <w:tcW w:w="7295" w:type="dxa"/>
            <w:tcBorders>
              <w:top w:val="single" w:color="auto" w:sz="4" w:space="0"/>
              <w:left w:val="single" w:color="auto" w:sz="4" w:space="0"/>
              <w:bottom w:val="single" w:color="auto" w:sz="4" w:space="0"/>
              <w:right w:val="single" w:color="auto" w:sz="4" w:space="0"/>
            </w:tcBorders>
            <w:vAlign w:val="center"/>
          </w:tcPr>
          <w:p w14:paraId="6EE2DD07">
            <w:pPr>
              <w:spacing w:line="360" w:lineRule="exact"/>
              <w:rPr>
                <w:color w:val="auto"/>
                <w:highlight w:val="none"/>
              </w:rPr>
            </w:pPr>
            <w:r>
              <w:rPr>
                <w:rFonts w:hint="eastAsia" w:ascii="宋体" w:hAnsi="宋体" w:cs="宋体"/>
                <w:color w:val="auto"/>
                <w:sz w:val="22"/>
                <w:szCs w:val="22"/>
                <w:highlight w:val="none"/>
              </w:rPr>
              <w:t>见第一部分“招标公告”</w:t>
            </w:r>
          </w:p>
        </w:tc>
      </w:tr>
      <w:tr w14:paraId="5EF532A3">
        <w:tblPrEx>
          <w:tblCellMar>
            <w:top w:w="0" w:type="dxa"/>
            <w:left w:w="108" w:type="dxa"/>
            <w:bottom w:w="0" w:type="dxa"/>
            <w:right w:w="108" w:type="dxa"/>
          </w:tblCellMar>
        </w:tblPrEx>
        <w:trPr>
          <w:trHeight w:val="573" w:hRule="atLeast"/>
        </w:trPr>
        <w:tc>
          <w:tcPr>
            <w:tcW w:w="1001" w:type="dxa"/>
            <w:tcBorders>
              <w:top w:val="single" w:color="auto" w:sz="4" w:space="0"/>
              <w:left w:val="single" w:color="auto" w:sz="4" w:space="0"/>
              <w:bottom w:val="single" w:color="auto" w:sz="4" w:space="0"/>
              <w:right w:val="single" w:color="auto" w:sz="4" w:space="0"/>
            </w:tcBorders>
            <w:vAlign w:val="center"/>
          </w:tcPr>
          <w:p w14:paraId="13039016">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1712" w:type="dxa"/>
            <w:tcBorders>
              <w:top w:val="single" w:color="auto" w:sz="4" w:space="0"/>
              <w:left w:val="single" w:color="auto" w:sz="4" w:space="0"/>
              <w:bottom w:val="single" w:color="auto" w:sz="4" w:space="0"/>
              <w:right w:val="single" w:color="auto" w:sz="4" w:space="0"/>
            </w:tcBorders>
            <w:vAlign w:val="center"/>
          </w:tcPr>
          <w:p w14:paraId="5F72073C">
            <w:pPr>
              <w:spacing w:line="360" w:lineRule="exact"/>
              <w:jc w:val="center"/>
              <w:rPr>
                <w:rFonts w:hint="default" w:ascii="宋体" w:hAnsi="宋体" w:eastAsia="宋体" w:cs="宋体"/>
                <w:color w:val="auto"/>
                <w:sz w:val="22"/>
                <w:szCs w:val="22"/>
                <w:highlight w:val="none"/>
                <w:lang w:val="en-US" w:eastAsia="zh-CN"/>
              </w:rPr>
            </w:pPr>
            <w:r>
              <w:rPr>
                <w:rFonts w:hint="eastAsia" w:ascii="宋体" w:hAnsi="宋体"/>
                <w:color w:val="auto"/>
                <w:sz w:val="22"/>
                <w:szCs w:val="22"/>
                <w:highlight w:val="none"/>
                <w:lang w:val="en-US" w:eastAsia="zh-CN"/>
              </w:rPr>
              <w:t>服务期限</w:t>
            </w:r>
          </w:p>
        </w:tc>
        <w:tc>
          <w:tcPr>
            <w:tcW w:w="7295" w:type="dxa"/>
            <w:tcBorders>
              <w:top w:val="single" w:color="auto" w:sz="4" w:space="0"/>
              <w:left w:val="single" w:color="auto" w:sz="4" w:space="0"/>
              <w:bottom w:val="single" w:color="auto" w:sz="4" w:space="0"/>
              <w:right w:val="single" w:color="auto" w:sz="4" w:space="0"/>
            </w:tcBorders>
            <w:vAlign w:val="center"/>
          </w:tcPr>
          <w:p w14:paraId="053CE5E5">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签订合同之日起</w:t>
            </w:r>
            <w:r>
              <w:rPr>
                <w:rFonts w:hint="eastAsia" w:ascii="宋体" w:hAnsi="宋体" w:cs="宋体"/>
                <w:color w:val="auto"/>
                <w:sz w:val="22"/>
                <w:szCs w:val="22"/>
                <w:highlight w:val="none"/>
                <w:lang w:val="en-US" w:eastAsia="zh-CN"/>
              </w:rPr>
              <w:t>至2025年12月，具体各阶段完成期限以合同约定为准</w:t>
            </w:r>
            <w:r>
              <w:rPr>
                <w:rFonts w:hint="eastAsia" w:ascii="宋体" w:hAnsi="宋体" w:cs="宋体"/>
                <w:color w:val="auto"/>
                <w:sz w:val="22"/>
                <w:szCs w:val="22"/>
                <w:highlight w:val="none"/>
              </w:rPr>
              <w:t>。</w:t>
            </w:r>
          </w:p>
        </w:tc>
      </w:tr>
      <w:tr w14:paraId="79797613">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18D5AE13">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1712" w:type="dxa"/>
            <w:tcBorders>
              <w:top w:val="single" w:color="auto" w:sz="4" w:space="0"/>
              <w:left w:val="single" w:color="auto" w:sz="4" w:space="0"/>
              <w:bottom w:val="single" w:color="auto" w:sz="4" w:space="0"/>
              <w:right w:val="single" w:color="auto" w:sz="4" w:space="0"/>
            </w:tcBorders>
            <w:vAlign w:val="center"/>
          </w:tcPr>
          <w:p w14:paraId="593DEF32">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投标人资格要求</w:t>
            </w:r>
          </w:p>
        </w:tc>
        <w:tc>
          <w:tcPr>
            <w:tcW w:w="7295" w:type="dxa"/>
            <w:tcBorders>
              <w:top w:val="single" w:color="auto" w:sz="4" w:space="0"/>
              <w:left w:val="single" w:color="auto" w:sz="4" w:space="0"/>
              <w:bottom w:val="single" w:color="auto" w:sz="4" w:space="0"/>
              <w:right w:val="single" w:color="auto" w:sz="4" w:space="0"/>
            </w:tcBorders>
            <w:vAlign w:val="center"/>
          </w:tcPr>
          <w:p w14:paraId="582C67FD">
            <w:pPr>
              <w:spacing w:line="360" w:lineRule="exact"/>
              <w:rPr>
                <w:rFonts w:ascii="宋体" w:hAnsi="宋体" w:cs="宋体"/>
                <w:b/>
                <w:color w:val="auto"/>
                <w:sz w:val="22"/>
                <w:szCs w:val="22"/>
                <w:highlight w:val="none"/>
              </w:rPr>
            </w:pPr>
            <w:r>
              <w:rPr>
                <w:rFonts w:hint="eastAsia" w:ascii="宋体" w:hAnsi="宋体" w:cs="宋体"/>
                <w:color w:val="auto"/>
                <w:sz w:val="22"/>
                <w:szCs w:val="22"/>
                <w:highlight w:val="none"/>
              </w:rPr>
              <w:t>见第一部分“招标公告”</w:t>
            </w:r>
          </w:p>
        </w:tc>
      </w:tr>
      <w:tr w14:paraId="456EE57A">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1B901D37">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6</w:t>
            </w:r>
          </w:p>
        </w:tc>
        <w:tc>
          <w:tcPr>
            <w:tcW w:w="1712" w:type="dxa"/>
            <w:tcBorders>
              <w:top w:val="single" w:color="auto" w:sz="4" w:space="0"/>
              <w:left w:val="single" w:color="auto" w:sz="4" w:space="0"/>
              <w:bottom w:val="single" w:color="auto" w:sz="4" w:space="0"/>
              <w:right w:val="single" w:color="auto" w:sz="4" w:space="0"/>
            </w:tcBorders>
            <w:vAlign w:val="center"/>
          </w:tcPr>
          <w:p w14:paraId="674AEED1">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投标委托</w:t>
            </w:r>
          </w:p>
        </w:tc>
        <w:tc>
          <w:tcPr>
            <w:tcW w:w="7295" w:type="dxa"/>
            <w:tcBorders>
              <w:top w:val="single" w:color="auto" w:sz="4" w:space="0"/>
              <w:left w:val="single" w:color="auto" w:sz="4" w:space="0"/>
              <w:bottom w:val="single" w:color="auto" w:sz="4" w:space="0"/>
              <w:right w:val="single" w:color="auto" w:sz="4" w:space="0"/>
            </w:tcBorders>
            <w:vAlign w:val="center"/>
          </w:tcPr>
          <w:p w14:paraId="5D5580D1">
            <w:pPr>
              <w:spacing w:line="360" w:lineRule="exact"/>
              <w:rPr>
                <w:rFonts w:ascii="宋体" w:hAnsi="宋体" w:cs="宋体"/>
                <w:color w:val="auto"/>
                <w:sz w:val="22"/>
                <w:szCs w:val="22"/>
                <w:highlight w:val="none"/>
                <w:u w:val="single"/>
              </w:rPr>
            </w:pPr>
            <w:r>
              <w:rPr>
                <w:rFonts w:hint="eastAsia" w:ascii="宋体" w:hAnsi="宋体" w:cs="宋体"/>
                <w:color w:val="auto"/>
                <w:sz w:val="22"/>
                <w:szCs w:val="22"/>
                <w:highlight w:val="none"/>
              </w:rPr>
              <w:t>▲</w:t>
            </w:r>
            <w:r>
              <w:rPr>
                <w:rFonts w:hint="eastAsia" w:ascii="宋体" w:hAnsi="宋体" w:cs="宋体"/>
                <w:color w:val="auto"/>
                <w:sz w:val="22"/>
                <w:szCs w:val="22"/>
                <w:highlight w:val="none"/>
                <w:u w:val="single"/>
              </w:rPr>
              <w:t>1.投标委托：</w:t>
            </w:r>
          </w:p>
          <w:p w14:paraId="380DE647">
            <w:pPr>
              <w:spacing w:line="360" w:lineRule="exac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1.1投标人代表是法定代表人（单位负责人、自然人本人）的，提供法定代表人资格证明书（格式见附件四）。</w:t>
            </w:r>
          </w:p>
          <w:p w14:paraId="74D50A2C">
            <w:pPr>
              <w:spacing w:line="360" w:lineRule="exac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1.2投标人代表不是法定代表人（单位负责人、自然人本人）的，提供法定代表人授权委托书（格式见附件四）和授权代表社保缴纳证明（本项目投标文件提交截止时间止近一年任意一月）；</w:t>
            </w:r>
          </w:p>
          <w:p w14:paraId="1C924CE8">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u w:val="single"/>
              </w:rPr>
              <w:t>1.3投标人委派不在本单位缴纳社保的人员作为授权代表的，应当在投标文件中，说明具体原因、授权代表缴纳社保的单位，并附该授权代表缴纳社保证明（本项目投标文件提交截止时间止近一年任意一月）。</w:t>
            </w:r>
          </w:p>
        </w:tc>
      </w:tr>
      <w:tr w14:paraId="35E3A2C9">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1365171E">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7</w:t>
            </w:r>
          </w:p>
        </w:tc>
        <w:tc>
          <w:tcPr>
            <w:tcW w:w="1712" w:type="dxa"/>
            <w:tcBorders>
              <w:top w:val="single" w:color="auto" w:sz="4" w:space="0"/>
              <w:left w:val="single" w:color="auto" w:sz="4" w:space="0"/>
              <w:bottom w:val="single" w:color="auto" w:sz="4" w:space="0"/>
              <w:right w:val="single" w:color="auto" w:sz="4" w:space="0"/>
            </w:tcBorders>
            <w:vAlign w:val="center"/>
          </w:tcPr>
          <w:p w14:paraId="01F7D9A4">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是否接受联合体投标</w:t>
            </w:r>
          </w:p>
        </w:tc>
        <w:tc>
          <w:tcPr>
            <w:tcW w:w="7295" w:type="dxa"/>
            <w:tcBorders>
              <w:top w:val="single" w:color="auto" w:sz="4" w:space="0"/>
              <w:left w:val="single" w:color="auto" w:sz="4" w:space="0"/>
              <w:bottom w:val="single" w:color="auto" w:sz="4" w:space="0"/>
              <w:right w:val="single" w:color="auto" w:sz="4" w:space="0"/>
            </w:tcBorders>
            <w:vAlign w:val="center"/>
          </w:tcPr>
          <w:p w14:paraId="068DC310">
            <w:pPr>
              <w:spacing w:line="360" w:lineRule="exact"/>
              <w:rPr>
                <w:rFonts w:ascii="宋体" w:hAnsi="宋体" w:cs="宋体"/>
                <w:color w:val="auto"/>
                <w:sz w:val="22"/>
                <w:szCs w:val="22"/>
                <w:highlight w:val="none"/>
              </w:rPr>
            </w:pPr>
            <w:r>
              <w:rPr>
                <w:rFonts w:hint="eastAsia" w:ascii="宋体" w:hAnsi="宋体" w:cs="宋体"/>
                <w:b/>
                <w:snapToGrid w:val="0"/>
                <w:color w:val="auto"/>
                <w:sz w:val="22"/>
                <w:szCs w:val="22"/>
                <w:highlight w:val="none"/>
              </w:rPr>
              <w:sym w:font="Wingdings" w:char="00FE"/>
            </w:r>
            <w:r>
              <w:rPr>
                <w:rFonts w:hint="eastAsia" w:ascii="宋体" w:hAnsi="宋体" w:cs="宋体"/>
                <w:color w:val="auto"/>
                <w:sz w:val="22"/>
                <w:szCs w:val="22"/>
                <w:highlight w:val="none"/>
              </w:rPr>
              <w:t>不接受</w:t>
            </w:r>
          </w:p>
          <w:p w14:paraId="30A99F7F">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sym w:font="Wingdings 2" w:char="00A3"/>
            </w:r>
            <w:r>
              <w:rPr>
                <w:rFonts w:hint="eastAsia" w:ascii="宋体" w:hAnsi="宋体" w:cs="宋体"/>
                <w:color w:val="auto"/>
                <w:sz w:val="22"/>
                <w:szCs w:val="22"/>
                <w:highlight w:val="none"/>
              </w:rPr>
              <w:t>接受，应满足下列要求：无。</w:t>
            </w:r>
          </w:p>
        </w:tc>
      </w:tr>
      <w:tr w14:paraId="51F1A112">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4879DEE8">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8</w:t>
            </w:r>
          </w:p>
        </w:tc>
        <w:tc>
          <w:tcPr>
            <w:tcW w:w="1712" w:type="dxa"/>
            <w:tcBorders>
              <w:top w:val="single" w:color="auto" w:sz="4" w:space="0"/>
              <w:left w:val="single" w:color="auto" w:sz="4" w:space="0"/>
              <w:bottom w:val="single" w:color="auto" w:sz="4" w:space="0"/>
              <w:right w:val="single" w:color="auto" w:sz="4" w:space="0"/>
            </w:tcBorders>
            <w:vAlign w:val="center"/>
          </w:tcPr>
          <w:p w14:paraId="6506CB6B">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踏勘现场</w:t>
            </w:r>
          </w:p>
        </w:tc>
        <w:tc>
          <w:tcPr>
            <w:tcW w:w="7295" w:type="dxa"/>
            <w:tcBorders>
              <w:top w:val="single" w:color="auto" w:sz="4" w:space="0"/>
              <w:left w:val="single" w:color="auto" w:sz="4" w:space="0"/>
              <w:bottom w:val="single" w:color="auto" w:sz="4" w:space="0"/>
              <w:right w:val="single" w:color="auto" w:sz="4" w:space="0"/>
            </w:tcBorders>
            <w:vAlign w:val="center"/>
          </w:tcPr>
          <w:p w14:paraId="12E6BA27">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□组织</w:t>
            </w:r>
          </w:p>
          <w:p w14:paraId="352526BF">
            <w:pPr>
              <w:spacing w:line="360" w:lineRule="exact"/>
              <w:rPr>
                <w:rFonts w:ascii="宋体" w:hAnsi="宋体" w:cs="宋体"/>
                <w:color w:val="auto"/>
                <w:sz w:val="22"/>
                <w:szCs w:val="22"/>
                <w:highlight w:val="none"/>
              </w:rPr>
            </w:pPr>
            <w:r>
              <w:rPr>
                <w:rFonts w:hint="eastAsia" w:ascii="宋体" w:hAnsi="宋体" w:cs="宋体"/>
                <w:b/>
                <w:snapToGrid w:val="0"/>
                <w:color w:val="auto"/>
                <w:sz w:val="22"/>
                <w:szCs w:val="22"/>
                <w:highlight w:val="none"/>
              </w:rPr>
              <w:sym w:font="Wingdings" w:char="F0FE"/>
            </w:r>
            <w:r>
              <w:rPr>
                <w:rFonts w:hint="eastAsia" w:ascii="宋体" w:hAnsi="宋体" w:cs="宋体"/>
                <w:color w:val="auto"/>
                <w:sz w:val="22"/>
                <w:szCs w:val="22"/>
                <w:highlight w:val="none"/>
              </w:rPr>
              <w:t>不组织，如需勘察，投标人需提早向代理机构提出申请，接到通知后方可前往。</w:t>
            </w:r>
          </w:p>
        </w:tc>
      </w:tr>
      <w:tr w14:paraId="65B82606">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33533C75">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9</w:t>
            </w:r>
          </w:p>
        </w:tc>
        <w:tc>
          <w:tcPr>
            <w:tcW w:w="1712" w:type="dxa"/>
            <w:tcBorders>
              <w:top w:val="single" w:color="auto" w:sz="4" w:space="0"/>
              <w:left w:val="single" w:color="auto" w:sz="4" w:space="0"/>
              <w:bottom w:val="single" w:color="auto" w:sz="4" w:space="0"/>
              <w:right w:val="single" w:color="auto" w:sz="4" w:space="0"/>
            </w:tcBorders>
            <w:vAlign w:val="center"/>
          </w:tcPr>
          <w:p w14:paraId="3BE68F39">
            <w:pPr>
              <w:spacing w:line="360" w:lineRule="exact"/>
              <w:jc w:val="center"/>
              <w:rPr>
                <w:rFonts w:ascii="宋体" w:hAnsi="宋体" w:cs="宋体"/>
                <w:color w:val="auto"/>
                <w:sz w:val="22"/>
                <w:szCs w:val="22"/>
                <w:highlight w:val="none"/>
              </w:rPr>
            </w:pPr>
            <w:r>
              <w:rPr>
                <w:rFonts w:hint="eastAsia" w:ascii="宋体" w:hAnsi="宋体" w:cs="仿宋"/>
                <w:color w:val="auto"/>
                <w:sz w:val="22"/>
                <w:szCs w:val="22"/>
                <w:highlight w:val="none"/>
              </w:rPr>
              <w:t>开标前答疑会</w:t>
            </w:r>
          </w:p>
        </w:tc>
        <w:tc>
          <w:tcPr>
            <w:tcW w:w="7295" w:type="dxa"/>
            <w:tcBorders>
              <w:top w:val="single" w:color="auto" w:sz="4" w:space="0"/>
              <w:left w:val="single" w:color="auto" w:sz="4" w:space="0"/>
              <w:bottom w:val="single" w:color="auto" w:sz="4" w:space="0"/>
              <w:right w:val="single" w:color="auto" w:sz="4" w:space="0"/>
            </w:tcBorders>
            <w:vAlign w:val="center"/>
          </w:tcPr>
          <w:p w14:paraId="07ED8358">
            <w:pPr>
              <w:spacing w:line="360" w:lineRule="exact"/>
              <w:rPr>
                <w:rFonts w:ascii="宋体" w:hAnsi="宋体" w:cs="仿宋"/>
                <w:color w:val="auto"/>
                <w:sz w:val="22"/>
                <w:szCs w:val="22"/>
                <w:highlight w:val="none"/>
              </w:rPr>
            </w:pPr>
            <w:r>
              <w:rPr>
                <w:rFonts w:hint="eastAsia" w:ascii="宋体" w:hAnsi="宋体" w:cs="宋体"/>
                <w:b/>
                <w:snapToGrid w:val="0"/>
                <w:color w:val="auto"/>
                <w:sz w:val="22"/>
                <w:szCs w:val="22"/>
                <w:highlight w:val="none"/>
              </w:rPr>
              <w:sym w:font="Wingdings" w:char="F0FE"/>
            </w:r>
            <w:r>
              <w:rPr>
                <w:rFonts w:hint="eastAsia" w:ascii="宋体" w:hAnsi="宋体" w:cs="仿宋"/>
                <w:color w:val="auto"/>
                <w:sz w:val="22"/>
                <w:szCs w:val="22"/>
                <w:highlight w:val="none"/>
              </w:rPr>
              <w:t>不组织。</w:t>
            </w:r>
          </w:p>
          <w:p w14:paraId="3C1F863A">
            <w:pPr>
              <w:spacing w:line="360" w:lineRule="exact"/>
              <w:rPr>
                <w:rFonts w:ascii="宋体" w:hAnsi="宋体" w:cs="宋体"/>
                <w:color w:val="auto"/>
                <w:sz w:val="22"/>
                <w:szCs w:val="22"/>
                <w:highlight w:val="none"/>
              </w:rPr>
            </w:pPr>
            <w:r>
              <w:rPr>
                <w:rFonts w:hint="eastAsia" w:ascii="宋体" w:hAnsi="宋体" w:cs="仿宋"/>
                <w:color w:val="auto"/>
                <w:sz w:val="22"/>
                <w:szCs w:val="22"/>
                <w:highlight w:val="none"/>
              </w:rPr>
              <w:sym w:font="Wingdings" w:char="00A8"/>
            </w:r>
            <w:r>
              <w:rPr>
                <w:rFonts w:hint="eastAsia" w:ascii="宋体" w:hAnsi="宋体" w:cs="仿宋"/>
                <w:color w:val="auto"/>
                <w:sz w:val="22"/>
                <w:szCs w:val="22"/>
                <w:highlight w:val="none"/>
              </w:rPr>
              <w:t xml:space="preserve"> 组织，时间：,地点：，联系人：，联系方式</w:t>
            </w:r>
            <w:r>
              <w:rPr>
                <w:rFonts w:hint="eastAsia" w:ascii="宋体" w:hAnsi="宋体" w:cs="仿宋"/>
                <w:color w:val="auto"/>
                <w:sz w:val="22"/>
                <w:szCs w:val="22"/>
                <w:highlight w:val="none"/>
                <w:u w:val="single"/>
              </w:rPr>
              <w:t xml:space="preserve">：      </w:t>
            </w:r>
            <w:r>
              <w:rPr>
                <w:rFonts w:hint="eastAsia" w:ascii="宋体" w:hAnsi="宋体" w:cs="仿宋"/>
                <w:color w:val="auto"/>
                <w:sz w:val="22"/>
                <w:szCs w:val="22"/>
                <w:highlight w:val="none"/>
              </w:rPr>
              <w:t>。</w:t>
            </w:r>
          </w:p>
        </w:tc>
      </w:tr>
      <w:tr w14:paraId="01C0C2FB">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55CD12C2">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10</w:t>
            </w:r>
          </w:p>
        </w:tc>
        <w:tc>
          <w:tcPr>
            <w:tcW w:w="1712" w:type="dxa"/>
            <w:tcBorders>
              <w:top w:val="single" w:color="auto" w:sz="4" w:space="0"/>
              <w:left w:val="single" w:color="auto" w:sz="4" w:space="0"/>
              <w:bottom w:val="single" w:color="auto" w:sz="4" w:space="0"/>
              <w:right w:val="single" w:color="auto" w:sz="4" w:space="0"/>
            </w:tcBorders>
            <w:vAlign w:val="center"/>
          </w:tcPr>
          <w:p w14:paraId="270DB053">
            <w:pPr>
              <w:spacing w:line="360" w:lineRule="exact"/>
              <w:jc w:val="center"/>
              <w:rPr>
                <w:rFonts w:ascii="宋体" w:hAnsi="宋体" w:cs="宋体"/>
                <w:color w:val="auto"/>
                <w:sz w:val="22"/>
                <w:szCs w:val="22"/>
                <w:highlight w:val="none"/>
              </w:rPr>
            </w:pPr>
            <w:r>
              <w:rPr>
                <w:rFonts w:hint="eastAsia" w:ascii="宋体" w:hAnsi="宋体" w:cs="仿宋"/>
                <w:bCs/>
                <w:color w:val="auto"/>
                <w:sz w:val="22"/>
                <w:szCs w:val="22"/>
                <w:highlight w:val="none"/>
              </w:rPr>
              <w:t>分包与转包</w:t>
            </w:r>
          </w:p>
        </w:tc>
        <w:tc>
          <w:tcPr>
            <w:tcW w:w="7295" w:type="dxa"/>
            <w:tcBorders>
              <w:top w:val="single" w:color="auto" w:sz="4" w:space="0"/>
              <w:left w:val="single" w:color="auto" w:sz="4" w:space="0"/>
              <w:bottom w:val="single" w:color="auto" w:sz="4" w:space="0"/>
              <w:right w:val="single" w:color="auto" w:sz="4" w:space="0"/>
            </w:tcBorders>
            <w:vAlign w:val="center"/>
          </w:tcPr>
          <w:p w14:paraId="606BA9AC">
            <w:pPr>
              <w:spacing w:line="360" w:lineRule="exact"/>
              <w:rPr>
                <w:rFonts w:ascii="宋体" w:hAnsi="宋体" w:cs="仿宋"/>
                <w:bCs/>
                <w:color w:val="auto"/>
                <w:sz w:val="22"/>
                <w:szCs w:val="22"/>
                <w:highlight w:val="none"/>
              </w:rPr>
            </w:pPr>
            <w:r>
              <w:rPr>
                <w:rFonts w:hint="eastAsia" w:ascii="宋体" w:hAnsi="宋体" w:cs="仿宋"/>
                <w:bCs/>
                <w:color w:val="auto"/>
                <w:sz w:val="22"/>
                <w:szCs w:val="22"/>
                <w:highlight w:val="none"/>
              </w:rPr>
              <w:t>（1）分包：</w:t>
            </w:r>
          </w:p>
          <w:p w14:paraId="545292A9">
            <w:pPr>
              <w:spacing w:line="360" w:lineRule="exact"/>
              <w:rPr>
                <w:rFonts w:ascii="宋体" w:hAnsi="宋体" w:cs="仿宋"/>
                <w:bCs/>
                <w:color w:val="auto"/>
                <w:sz w:val="22"/>
                <w:szCs w:val="22"/>
                <w:highlight w:val="none"/>
              </w:rPr>
            </w:pPr>
            <w:r>
              <w:rPr>
                <w:rFonts w:hint="eastAsia" w:ascii="宋体" w:hAnsi="宋体" w:cs="仿宋"/>
                <w:bCs/>
                <w:color w:val="auto"/>
                <w:sz w:val="22"/>
                <w:szCs w:val="22"/>
                <w:highlight w:val="none"/>
              </w:rPr>
              <w:sym w:font="Wingdings" w:char="00FE"/>
            </w:r>
            <w:r>
              <w:rPr>
                <w:rFonts w:hint="eastAsia" w:ascii="宋体" w:hAnsi="宋体" w:cs="仿宋"/>
                <w:bCs/>
                <w:color w:val="auto"/>
                <w:sz w:val="22"/>
                <w:szCs w:val="22"/>
                <w:highlight w:val="none"/>
              </w:rPr>
              <w:t>同意将非主体、非关键性的工作分包。</w:t>
            </w:r>
          </w:p>
          <w:p w14:paraId="50955613">
            <w:pPr>
              <w:spacing w:line="360" w:lineRule="exact"/>
              <w:rPr>
                <w:rFonts w:ascii="宋体" w:hAnsi="宋体" w:cs="仿宋"/>
                <w:bCs/>
                <w:color w:val="auto"/>
                <w:sz w:val="22"/>
                <w:szCs w:val="22"/>
                <w:highlight w:val="none"/>
              </w:rPr>
            </w:pPr>
            <w:r>
              <w:rPr>
                <w:rFonts w:hint="eastAsia" w:ascii="宋体" w:hAnsi="宋体" w:cs="宋体"/>
                <w:b/>
                <w:snapToGrid w:val="0"/>
                <w:color w:val="auto"/>
                <w:sz w:val="22"/>
                <w:szCs w:val="22"/>
                <w:highlight w:val="none"/>
              </w:rPr>
              <w:sym w:font="Wingdings" w:char="00A8"/>
            </w:r>
            <w:r>
              <w:rPr>
                <w:rFonts w:hint="eastAsia" w:ascii="宋体" w:hAnsi="宋体" w:cs="仿宋"/>
                <w:bCs/>
                <w:color w:val="auto"/>
                <w:sz w:val="22"/>
                <w:szCs w:val="22"/>
                <w:highlight w:val="none"/>
              </w:rPr>
              <w:t>不同意分包。</w:t>
            </w:r>
          </w:p>
          <w:p w14:paraId="46C78E8C">
            <w:pPr>
              <w:spacing w:line="360" w:lineRule="exact"/>
              <w:rPr>
                <w:rFonts w:ascii="宋体" w:hAnsi="宋体" w:cs="宋体"/>
                <w:color w:val="auto"/>
                <w:sz w:val="22"/>
                <w:szCs w:val="22"/>
                <w:highlight w:val="none"/>
              </w:rPr>
            </w:pPr>
            <w:r>
              <w:rPr>
                <w:rFonts w:hint="eastAsia" w:ascii="宋体" w:hAnsi="宋体" w:cs="仿宋"/>
                <w:bCs/>
                <w:color w:val="auto"/>
                <w:sz w:val="22"/>
                <w:szCs w:val="22"/>
                <w:highlight w:val="none"/>
              </w:rPr>
              <w:t>（2）转包：本项目不允许转包。</w:t>
            </w:r>
          </w:p>
        </w:tc>
      </w:tr>
      <w:tr w14:paraId="1D3C36B5">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55D35173">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11</w:t>
            </w:r>
          </w:p>
        </w:tc>
        <w:tc>
          <w:tcPr>
            <w:tcW w:w="1712" w:type="dxa"/>
            <w:tcBorders>
              <w:top w:val="single" w:color="auto" w:sz="4" w:space="0"/>
              <w:left w:val="single" w:color="auto" w:sz="4" w:space="0"/>
              <w:bottom w:val="single" w:color="auto" w:sz="4" w:space="0"/>
              <w:right w:val="single" w:color="auto" w:sz="4" w:space="0"/>
            </w:tcBorders>
            <w:vAlign w:val="center"/>
          </w:tcPr>
          <w:p w14:paraId="2BD3FD4D">
            <w:pPr>
              <w:autoSpaceDE w:val="0"/>
              <w:autoSpaceDN w:val="0"/>
              <w:adjustRightInd w:val="0"/>
              <w:snapToGrid w:val="0"/>
              <w:spacing w:line="360" w:lineRule="exact"/>
              <w:jc w:val="center"/>
              <w:rPr>
                <w:rFonts w:ascii="宋体" w:hAnsi="宋体" w:cs="仿宋"/>
                <w:bCs/>
                <w:color w:val="auto"/>
                <w:sz w:val="22"/>
                <w:szCs w:val="22"/>
                <w:highlight w:val="none"/>
              </w:rPr>
            </w:pPr>
            <w:r>
              <w:rPr>
                <w:rFonts w:hint="eastAsia" w:ascii="宋体" w:hAnsi="宋体" w:cs="宋体"/>
                <w:snapToGrid w:val="0"/>
                <w:color w:val="auto"/>
                <w:szCs w:val="22"/>
                <w:highlight w:val="none"/>
              </w:rPr>
              <w:t>报价要求</w:t>
            </w:r>
          </w:p>
        </w:tc>
        <w:tc>
          <w:tcPr>
            <w:tcW w:w="7295" w:type="dxa"/>
            <w:tcBorders>
              <w:top w:val="single" w:color="auto" w:sz="4" w:space="0"/>
              <w:left w:val="single" w:color="auto" w:sz="4" w:space="0"/>
              <w:bottom w:val="single" w:color="auto" w:sz="4" w:space="0"/>
              <w:right w:val="single" w:color="auto" w:sz="4" w:space="0"/>
            </w:tcBorders>
            <w:vAlign w:val="center"/>
          </w:tcPr>
          <w:p w14:paraId="0B19E626">
            <w:pPr>
              <w:adjustRightInd w:val="0"/>
              <w:snapToGrid w:val="0"/>
              <w:spacing w:line="360" w:lineRule="exact"/>
              <w:rPr>
                <w:rFonts w:ascii="宋体" w:hAnsi="宋体" w:cs="宋体"/>
                <w:b/>
                <w:bCs/>
                <w:color w:val="auto"/>
                <w:szCs w:val="22"/>
                <w:highlight w:val="none"/>
              </w:rPr>
            </w:pPr>
            <w:r>
              <w:rPr>
                <w:rFonts w:hint="eastAsia" w:ascii="宋体" w:hAnsi="宋体" w:cs="宋体"/>
                <w:b/>
                <w:bCs/>
                <w:color w:val="auto"/>
                <w:szCs w:val="22"/>
                <w:highlight w:val="none"/>
              </w:rPr>
              <w:t>本项目采用人民币报价</w:t>
            </w:r>
          </w:p>
          <w:p w14:paraId="52DBE60F">
            <w:pPr>
              <w:adjustRightInd w:val="0"/>
              <w:snapToGrid w:val="0"/>
              <w:spacing w:line="360" w:lineRule="exact"/>
              <w:rPr>
                <w:rFonts w:ascii="宋体" w:hAnsi="宋体" w:cs="仿宋"/>
                <w:bCs/>
                <w:color w:val="auto"/>
                <w:sz w:val="22"/>
                <w:szCs w:val="22"/>
                <w:highlight w:val="none"/>
              </w:rPr>
            </w:pPr>
            <w:r>
              <w:rPr>
                <w:rFonts w:hint="eastAsia" w:ascii="宋体" w:hAnsi="宋体" w:cs="宋体"/>
                <w:snapToGrid w:val="0"/>
                <w:color w:val="auto"/>
                <w:szCs w:val="22"/>
                <w:highlight w:val="none"/>
              </w:rPr>
              <w:t>客户端填写的报价与以pdf格式上传文件中的报价不一致的，应以Pdf格式上传文件中的报价为准。</w:t>
            </w:r>
          </w:p>
        </w:tc>
      </w:tr>
      <w:tr w14:paraId="4AB19955">
        <w:tblPrEx>
          <w:tblCellMar>
            <w:top w:w="0" w:type="dxa"/>
            <w:left w:w="108" w:type="dxa"/>
            <w:bottom w:w="0" w:type="dxa"/>
            <w:right w:w="108" w:type="dxa"/>
          </w:tblCellMar>
        </w:tblPrEx>
        <w:trPr>
          <w:trHeight w:val="371" w:hRule="atLeast"/>
        </w:trPr>
        <w:tc>
          <w:tcPr>
            <w:tcW w:w="1001" w:type="dxa"/>
            <w:tcBorders>
              <w:top w:val="single" w:color="auto" w:sz="4" w:space="0"/>
              <w:left w:val="single" w:color="auto" w:sz="4" w:space="0"/>
              <w:bottom w:val="single" w:color="auto" w:sz="4" w:space="0"/>
              <w:right w:val="single" w:color="auto" w:sz="4" w:space="0"/>
            </w:tcBorders>
            <w:vAlign w:val="center"/>
          </w:tcPr>
          <w:p w14:paraId="454D01B0">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12</w:t>
            </w:r>
          </w:p>
        </w:tc>
        <w:tc>
          <w:tcPr>
            <w:tcW w:w="1712" w:type="dxa"/>
            <w:tcBorders>
              <w:top w:val="single" w:color="auto" w:sz="4" w:space="0"/>
              <w:left w:val="single" w:color="auto" w:sz="4" w:space="0"/>
              <w:bottom w:val="single" w:color="auto" w:sz="4" w:space="0"/>
              <w:right w:val="single" w:color="auto" w:sz="4" w:space="0"/>
            </w:tcBorders>
            <w:vAlign w:val="center"/>
          </w:tcPr>
          <w:p w14:paraId="32CCA372">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偏离</w:t>
            </w:r>
          </w:p>
        </w:tc>
        <w:tc>
          <w:tcPr>
            <w:tcW w:w="7295" w:type="dxa"/>
            <w:tcBorders>
              <w:top w:val="single" w:color="auto" w:sz="4" w:space="0"/>
              <w:left w:val="single" w:color="auto" w:sz="4" w:space="0"/>
              <w:bottom w:val="single" w:color="auto" w:sz="4" w:space="0"/>
              <w:right w:val="single" w:color="auto" w:sz="4" w:space="0"/>
            </w:tcBorders>
            <w:vAlign w:val="center"/>
          </w:tcPr>
          <w:p w14:paraId="05F7B6D0">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偏差允许幅度及其处理方法：允许细微偏差，不允许重大偏差。由评标委员会判断，细微偏差要求投标人在评标结束前予以澄清、说明或补正，不接受要求进行的，评标委员会有权做无效标处理，详见评标方法。</w:t>
            </w:r>
          </w:p>
        </w:tc>
      </w:tr>
      <w:tr w14:paraId="7BF8A824">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2B135FD5">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13</w:t>
            </w:r>
          </w:p>
        </w:tc>
        <w:tc>
          <w:tcPr>
            <w:tcW w:w="1712" w:type="dxa"/>
            <w:tcBorders>
              <w:top w:val="single" w:color="auto" w:sz="4" w:space="0"/>
              <w:left w:val="single" w:color="auto" w:sz="4" w:space="0"/>
              <w:bottom w:val="single" w:color="auto" w:sz="4" w:space="0"/>
              <w:right w:val="single" w:color="auto" w:sz="4" w:space="0"/>
            </w:tcBorders>
            <w:vAlign w:val="center"/>
          </w:tcPr>
          <w:p w14:paraId="76B82EDC">
            <w:pPr>
              <w:spacing w:line="360" w:lineRule="exact"/>
              <w:jc w:val="center"/>
              <w:rPr>
                <w:rFonts w:ascii="宋体" w:hAnsi="宋体" w:cs="宋体"/>
                <w:color w:val="auto"/>
                <w:sz w:val="22"/>
                <w:szCs w:val="22"/>
                <w:highlight w:val="none"/>
              </w:rPr>
            </w:pPr>
            <w:r>
              <w:rPr>
                <w:rFonts w:hint="eastAsia" w:ascii="宋体" w:hAnsi="宋体" w:cs="仿宋"/>
                <w:color w:val="auto"/>
                <w:sz w:val="22"/>
                <w:szCs w:val="22"/>
                <w:highlight w:val="none"/>
              </w:rPr>
              <w:t>投标有效期</w:t>
            </w:r>
          </w:p>
        </w:tc>
        <w:tc>
          <w:tcPr>
            <w:tcW w:w="7295" w:type="dxa"/>
            <w:tcBorders>
              <w:top w:val="single" w:color="auto" w:sz="4" w:space="0"/>
              <w:left w:val="single" w:color="auto" w:sz="4" w:space="0"/>
              <w:bottom w:val="single" w:color="auto" w:sz="4" w:space="0"/>
              <w:right w:val="single" w:color="auto" w:sz="4" w:space="0"/>
            </w:tcBorders>
            <w:vAlign w:val="center"/>
          </w:tcPr>
          <w:p w14:paraId="640CEC27">
            <w:pPr>
              <w:spacing w:line="360" w:lineRule="exact"/>
              <w:rPr>
                <w:rFonts w:ascii="宋体" w:hAnsi="宋体" w:cs="宋体"/>
                <w:color w:val="auto"/>
                <w:sz w:val="22"/>
                <w:szCs w:val="22"/>
                <w:highlight w:val="none"/>
              </w:rPr>
            </w:pPr>
            <w:r>
              <w:rPr>
                <w:rFonts w:hint="eastAsia" w:ascii="宋体" w:hAnsi="宋体" w:cs="仿宋"/>
                <w:color w:val="auto"/>
                <w:sz w:val="22"/>
                <w:szCs w:val="22"/>
                <w:highlight w:val="none"/>
              </w:rPr>
              <w:t xml:space="preserve">投标有效期为从提交投标文件的截止之日起 </w:t>
            </w:r>
            <w:r>
              <w:rPr>
                <w:rFonts w:ascii="宋体" w:hAnsi="宋体" w:cs="仿宋"/>
                <w:color w:val="auto"/>
                <w:sz w:val="22"/>
                <w:szCs w:val="22"/>
                <w:highlight w:val="none"/>
              </w:rPr>
              <w:t>90</w:t>
            </w:r>
            <w:r>
              <w:rPr>
                <w:rFonts w:hint="eastAsia" w:ascii="宋体" w:hAnsi="宋体" w:cs="仿宋"/>
                <w:color w:val="auto"/>
                <w:sz w:val="22"/>
                <w:szCs w:val="22"/>
                <w:highlight w:val="none"/>
              </w:rPr>
              <w:t>天</w:t>
            </w:r>
          </w:p>
        </w:tc>
      </w:tr>
      <w:tr w14:paraId="166F7851">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17A19AA5">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14</w:t>
            </w:r>
          </w:p>
        </w:tc>
        <w:tc>
          <w:tcPr>
            <w:tcW w:w="1712" w:type="dxa"/>
            <w:tcBorders>
              <w:top w:val="single" w:color="auto" w:sz="4" w:space="0"/>
              <w:left w:val="single" w:color="auto" w:sz="4" w:space="0"/>
              <w:bottom w:val="single" w:color="auto" w:sz="4" w:space="0"/>
              <w:right w:val="single" w:color="auto" w:sz="4" w:space="0"/>
            </w:tcBorders>
            <w:vAlign w:val="center"/>
          </w:tcPr>
          <w:p w14:paraId="10E63E6A">
            <w:pPr>
              <w:spacing w:line="360" w:lineRule="exact"/>
              <w:jc w:val="center"/>
              <w:rPr>
                <w:rFonts w:ascii="宋体" w:hAnsi="宋体" w:cs="宋体"/>
                <w:color w:val="auto"/>
                <w:sz w:val="22"/>
                <w:szCs w:val="22"/>
                <w:highlight w:val="none"/>
              </w:rPr>
            </w:pPr>
            <w:r>
              <w:rPr>
                <w:rFonts w:hint="eastAsia" w:ascii="宋体" w:hAnsi="宋体" w:cs="仿宋"/>
                <w:color w:val="auto"/>
                <w:sz w:val="22"/>
                <w:szCs w:val="22"/>
                <w:highlight w:val="none"/>
              </w:rPr>
              <w:t>合同签订时间</w:t>
            </w:r>
          </w:p>
        </w:tc>
        <w:tc>
          <w:tcPr>
            <w:tcW w:w="7295" w:type="dxa"/>
            <w:tcBorders>
              <w:top w:val="single" w:color="auto" w:sz="4" w:space="0"/>
              <w:left w:val="single" w:color="auto" w:sz="4" w:space="0"/>
              <w:bottom w:val="single" w:color="auto" w:sz="4" w:space="0"/>
              <w:right w:val="single" w:color="auto" w:sz="4" w:space="0"/>
            </w:tcBorders>
            <w:vAlign w:val="center"/>
          </w:tcPr>
          <w:p w14:paraId="67231768">
            <w:pPr>
              <w:spacing w:line="360" w:lineRule="exact"/>
              <w:rPr>
                <w:rFonts w:ascii="宋体" w:hAnsi="宋体" w:cs="宋体"/>
                <w:color w:val="auto"/>
                <w:sz w:val="22"/>
                <w:szCs w:val="22"/>
                <w:highlight w:val="none"/>
              </w:rPr>
            </w:pPr>
            <w:r>
              <w:rPr>
                <w:rFonts w:hint="eastAsia" w:ascii="宋体" w:hAnsi="宋体" w:cs="仿宋"/>
                <w:color w:val="auto"/>
                <w:sz w:val="22"/>
                <w:szCs w:val="22"/>
                <w:highlight w:val="none"/>
              </w:rPr>
              <w:t>中标通知书发出之日起30天内。</w:t>
            </w:r>
          </w:p>
        </w:tc>
      </w:tr>
      <w:tr w14:paraId="6715D4BF">
        <w:tblPrEx>
          <w:tblCellMar>
            <w:top w:w="0" w:type="dxa"/>
            <w:left w:w="108" w:type="dxa"/>
            <w:bottom w:w="0" w:type="dxa"/>
            <w:right w:w="108" w:type="dxa"/>
          </w:tblCellMar>
        </w:tblPrEx>
        <w:trPr>
          <w:trHeight w:val="273" w:hRule="atLeast"/>
        </w:trPr>
        <w:tc>
          <w:tcPr>
            <w:tcW w:w="1001" w:type="dxa"/>
            <w:tcBorders>
              <w:top w:val="single" w:color="auto" w:sz="4" w:space="0"/>
              <w:left w:val="single" w:color="auto" w:sz="4" w:space="0"/>
              <w:bottom w:val="single" w:color="auto" w:sz="4" w:space="0"/>
              <w:right w:val="single" w:color="auto" w:sz="4" w:space="0"/>
            </w:tcBorders>
            <w:vAlign w:val="center"/>
          </w:tcPr>
          <w:p w14:paraId="2D47AB2A">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15</w:t>
            </w:r>
          </w:p>
        </w:tc>
        <w:tc>
          <w:tcPr>
            <w:tcW w:w="1712" w:type="dxa"/>
            <w:tcBorders>
              <w:top w:val="single" w:color="auto" w:sz="4" w:space="0"/>
              <w:left w:val="single" w:color="auto" w:sz="4" w:space="0"/>
              <w:bottom w:val="single" w:color="auto" w:sz="4" w:space="0"/>
              <w:right w:val="single" w:color="auto" w:sz="4" w:space="0"/>
            </w:tcBorders>
            <w:vAlign w:val="center"/>
          </w:tcPr>
          <w:p w14:paraId="44AF0B4D">
            <w:pPr>
              <w:spacing w:line="360" w:lineRule="exact"/>
              <w:jc w:val="center"/>
              <w:rPr>
                <w:rFonts w:ascii="宋体" w:hAnsi="宋体" w:cs="宋体"/>
                <w:color w:val="auto"/>
                <w:sz w:val="22"/>
                <w:szCs w:val="22"/>
                <w:highlight w:val="none"/>
              </w:rPr>
            </w:pPr>
            <w:r>
              <w:rPr>
                <w:rFonts w:hint="eastAsia" w:ascii="宋体" w:hAnsi="宋体" w:cs="仿宋"/>
                <w:color w:val="auto"/>
                <w:sz w:val="22"/>
                <w:szCs w:val="22"/>
                <w:highlight w:val="none"/>
              </w:rPr>
              <w:t>提交投标文件截止时间、开标时间和地点</w:t>
            </w:r>
          </w:p>
        </w:tc>
        <w:tc>
          <w:tcPr>
            <w:tcW w:w="7295" w:type="dxa"/>
            <w:tcBorders>
              <w:top w:val="single" w:color="auto" w:sz="4" w:space="0"/>
              <w:left w:val="single" w:color="auto" w:sz="4" w:space="0"/>
              <w:bottom w:val="single" w:color="auto" w:sz="4" w:space="0"/>
              <w:right w:val="single" w:color="auto" w:sz="4" w:space="0"/>
            </w:tcBorders>
            <w:vAlign w:val="center"/>
          </w:tcPr>
          <w:p w14:paraId="0D63FFED">
            <w:pPr>
              <w:spacing w:line="360" w:lineRule="exact"/>
              <w:rPr>
                <w:rFonts w:ascii="宋体" w:hAnsi="宋体" w:cs="宋体"/>
                <w:color w:val="auto"/>
                <w:sz w:val="22"/>
                <w:szCs w:val="22"/>
                <w:highlight w:val="none"/>
              </w:rPr>
            </w:pPr>
            <w:r>
              <w:rPr>
                <w:rFonts w:hint="eastAsia" w:ascii="宋体" w:hAnsi="宋体" w:cs="仿宋"/>
                <w:color w:val="auto"/>
                <w:sz w:val="22"/>
                <w:szCs w:val="22"/>
                <w:highlight w:val="none"/>
              </w:rPr>
              <w:t>详见第一部分“招标公告”</w:t>
            </w:r>
          </w:p>
        </w:tc>
      </w:tr>
      <w:tr w14:paraId="76A5EFA7">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02471EF5">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16</w:t>
            </w:r>
          </w:p>
        </w:tc>
        <w:tc>
          <w:tcPr>
            <w:tcW w:w="1712" w:type="dxa"/>
            <w:tcBorders>
              <w:top w:val="single" w:color="auto" w:sz="4" w:space="0"/>
              <w:left w:val="single" w:color="auto" w:sz="4" w:space="0"/>
              <w:bottom w:val="single" w:color="auto" w:sz="4" w:space="0"/>
              <w:right w:val="single" w:color="auto" w:sz="4" w:space="0"/>
            </w:tcBorders>
            <w:vAlign w:val="center"/>
          </w:tcPr>
          <w:p w14:paraId="65325E42">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投标文件的编制</w:t>
            </w:r>
          </w:p>
        </w:tc>
        <w:tc>
          <w:tcPr>
            <w:tcW w:w="7295" w:type="dxa"/>
            <w:tcBorders>
              <w:top w:val="single" w:color="auto" w:sz="4" w:space="0"/>
              <w:left w:val="single" w:color="auto" w:sz="4" w:space="0"/>
              <w:bottom w:val="single" w:color="auto" w:sz="4" w:space="0"/>
              <w:right w:val="single" w:color="auto" w:sz="4" w:space="0"/>
            </w:tcBorders>
            <w:vAlign w:val="center"/>
          </w:tcPr>
          <w:p w14:paraId="43B630C7">
            <w:pPr>
              <w:spacing w:line="360" w:lineRule="exact"/>
              <w:rPr>
                <w:rFonts w:ascii="宋体" w:hAnsi="宋体" w:cs="宋体"/>
                <w:color w:val="auto"/>
                <w:sz w:val="22"/>
                <w:szCs w:val="22"/>
                <w:highlight w:val="none"/>
              </w:rPr>
            </w:pPr>
            <w:r>
              <w:rPr>
                <w:rFonts w:hint="eastAsia" w:ascii="宋体" w:hAnsi="宋体" w:cs="仿宋"/>
                <w:bCs/>
                <w:color w:val="auto"/>
                <w:sz w:val="22"/>
                <w:szCs w:val="22"/>
                <w:highlight w:val="none"/>
              </w:rPr>
              <w:t>详见第二部分“投标人须知”第三款</w:t>
            </w:r>
          </w:p>
        </w:tc>
      </w:tr>
      <w:tr w14:paraId="1503E4F9">
        <w:tblPrEx>
          <w:tblCellMar>
            <w:top w:w="0" w:type="dxa"/>
            <w:left w:w="108" w:type="dxa"/>
            <w:bottom w:w="0" w:type="dxa"/>
            <w:right w:w="108" w:type="dxa"/>
          </w:tblCellMar>
        </w:tblPrEx>
        <w:trPr>
          <w:trHeight w:val="358" w:hRule="atLeast"/>
        </w:trPr>
        <w:tc>
          <w:tcPr>
            <w:tcW w:w="1001" w:type="dxa"/>
            <w:tcBorders>
              <w:top w:val="single" w:color="auto" w:sz="4" w:space="0"/>
              <w:left w:val="single" w:color="auto" w:sz="4" w:space="0"/>
              <w:bottom w:val="single" w:color="auto" w:sz="4" w:space="0"/>
              <w:right w:val="single" w:color="auto" w:sz="4" w:space="0"/>
            </w:tcBorders>
            <w:vAlign w:val="center"/>
          </w:tcPr>
          <w:p w14:paraId="23C3A922">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17</w:t>
            </w:r>
          </w:p>
        </w:tc>
        <w:tc>
          <w:tcPr>
            <w:tcW w:w="1712" w:type="dxa"/>
            <w:tcBorders>
              <w:top w:val="single" w:color="auto" w:sz="4" w:space="0"/>
              <w:left w:val="single" w:color="auto" w:sz="4" w:space="0"/>
              <w:bottom w:val="single" w:color="auto" w:sz="4" w:space="0"/>
              <w:right w:val="single" w:color="auto" w:sz="4" w:space="0"/>
            </w:tcBorders>
            <w:vAlign w:val="center"/>
          </w:tcPr>
          <w:p w14:paraId="55E1C417">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投标文件的形式</w:t>
            </w:r>
          </w:p>
        </w:tc>
        <w:tc>
          <w:tcPr>
            <w:tcW w:w="7295" w:type="dxa"/>
            <w:tcBorders>
              <w:top w:val="single" w:color="auto" w:sz="4" w:space="0"/>
              <w:left w:val="single" w:color="auto" w:sz="4" w:space="0"/>
              <w:bottom w:val="single" w:color="auto" w:sz="4" w:space="0"/>
              <w:right w:val="single" w:color="auto" w:sz="4" w:space="0"/>
            </w:tcBorders>
            <w:vAlign w:val="center"/>
          </w:tcPr>
          <w:p w14:paraId="008A4DC1">
            <w:pPr>
              <w:pStyle w:val="24"/>
              <w:snapToGrid w:val="0"/>
              <w:spacing w:line="360" w:lineRule="exact"/>
              <w:rPr>
                <w:rFonts w:hAnsi="宋体" w:cs="宋体"/>
                <w:b/>
                <w:bCs/>
                <w:color w:val="auto"/>
                <w:highlight w:val="none"/>
              </w:rPr>
            </w:pPr>
            <w:r>
              <w:rPr>
                <w:rFonts w:hint="eastAsia" w:hAnsi="宋体" w:cs="宋体"/>
                <w:b/>
                <w:bCs/>
                <w:color w:val="auto"/>
                <w:highlight w:val="none"/>
              </w:rPr>
              <w:t>本项目实行网上电子投标。</w:t>
            </w:r>
          </w:p>
          <w:p w14:paraId="3BF20D2D">
            <w:pPr>
              <w:pStyle w:val="24"/>
              <w:snapToGrid w:val="0"/>
              <w:spacing w:line="360" w:lineRule="exact"/>
              <w:rPr>
                <w:rFonts w:hAnsi="宋体" w:cs="宋体"/>
                <w:b/>
                <w:bCs/>
                <w:color w:val="auto"/>
                <w:szCs w:val="22"/>
                <w:highlight w:val="none"/>
              </w:rPr>
            </w:pPr>
            <w:r>
              <w:rPr>
                <w:rFonts w:hint="eastAsia" w:hAnsi="宋体" w:cs="宋体"/>
                <w:b/>
                <w:bCs/>
                <w:color w:val="auto"/>
                <w:szCs w:val="22"/>
                <w:highlight w:val="none"/>
              </w:rPr>
              <w:t>供应商应准备电子响应文件、以介质存储的数据电文形式的备份响应文件二类：</w:t>
            </w:r>
          </w:p>
          <w:p w14:paraId="120352B6">
            <w:pPr>
              <w:pStyle w:val="24"/>
              <w:snapToGrid w:val="0"/>
              <w:spacing w:line="360" w:lineRule="exact"/>
              <w:ind w:firstLine="211" w:firstLineChars="100"/>
              <w:rPr>
                <w:rFonts w:hAnsi="宋体" w:cs="宋体"/>
                <w:b/>
                <w:bCs/>
                <w:color w:val="auto"/>
                <w:szCs w:val="22"/>
                <w:highlight w:val="none"/>
              </w:rPr>
            </w:pPr>
            <w:r>
              <w:rPr>
                <w:rFonts w:hint="eastAsia" w:hAnsi="宋体" w:cs="宋体"/>
                <w:b/>
                <w:bCs/>
                <w:color w:val="auto"/>
                <w:szCs w:val="22"/>
                <w:highlight w:val="none"/>
              </w:rPr>
              <w:t>(1)电子响应文件：通过政采云电子交易客户端（政采云投标客户端）完成响应文件编制后生成并加密的数据电文形式的响应文件（文件扩展名为.jmbs）</w:t>
            </w:r>
            <w:r>
              <w:rPr>
                <w:rFonts w:hint="eastAsia" w:hAnsi="宋体" w:cs="宋体"/>
                <w:b/>
                <w:bCs/>
                <w:color w:val="auto"/>
                <w:szCs w:val="22"/>
                <w:highlight w:val="none"/>
                <w:lang w:val="zh-CN"/>
              </w:rPr>
              <w:t>。</w:t>
            </w:r>
          </w:p>
          <w:p w14:paraId="235418FA">
            <w:pPr>
              <w:spacing w:line="360" w:lineRule="exact"/>
              <w:ind w:firstLine="211" w:firstLineChars="100"/>
              <w:rPr>
                <w:rStyle w:val="42"/>
                <w:rFonts w:ascii="宋体" w:hAnsi="宋体" w:cs="宋体"/>
                <w:color w:val="auto"/>
                <w:szCs w:val="22"/>
                <w:highlight w:val="none"/>
              </w:rPr>
            </w:pPr>
            <w:r>
              <w:rPr>
                <w:rFonts w:hint="eastAsia" w:ascii="宋体" w:hAnsi="宋体" w:cs="宋体"/>
                <w:b/>
                <w:bCs/>
                <w:color w:val="auto"/>
                <w:szCs w:val="22"/>
                <w:highlight w:val="none"/>
              </w:rPr>
              <w:t>(2)以介质存储的数据电文形式的备份响应文件：</w:t>
            </w:r>
            <w:r>
              <w:rPr>
                <w:rStyle w:val="42"/>
                <w:rFonts w:hint="eastAsia" w:ascii="宋体" w:hAnsi="宋体" w:cs="宋体"/>
                <w:color w:val="auto"/>
                <w:szCs w:val="22"/>
                <w:highlight w:val="none"/>
              </w:rPr>
              <w:t>与“电子响应文件”同时生成的数据电文形式的备份响应文件(文件扩展名为.bfbs)</w:t>
            </w:r>
            <w:r>
              <w:rPr>
                <w:rFonts w:hint="eastAsia" w:ascii="宋体" w:hAnsi="宋体" w:cs="宋体"/>
                <w:b/>
                <w:bCs/>
                <w:color w:val="auto"/>
                <w:szCs w:val="22"/>
                <w:highlight w:val="none"/>
              </w:rPr>
              <w:t>，投标文件提交截止时间前以</w:t>
            </w:r>
            <w:r>
              <w:rPr>
                <w:rFonts w:hint="eastAsia" w:ascii="宋体" w:hAnsi="宋体" w:cs="宋体"/>
                <w:b/>
                <w:bCs/>
                <w:color w:val="auto"/>
                <w:szCs w:val="22"/>
                <w:highlight w:val="none"/>
                <w:lang w:val="zh-CN"/>
              </w:rPr>
              <w:t>电子邮件方式传送至</w:t>
            </w:r>
            <w:r>
              <w:rPr>
                <w:rFonts w:hint="eastAsia" w:ascii="宋体" w:hAnsi="宋体" w:cs="宋体"/>
                <w:b/>
                <w:bCs/>
                <w:color w:val="auto"/>
                <w:szCs w:val="22"/>
                <w:highlight w:val="none"/>
              </w:rPr>
              <w:t>温州正风招标代理</w:t>
            </w:r>
            <w:r>
              <w:rPr>
                <w:rFonts w:hint="eastAsia" w:ascii="宋体" w:hAnsi="宋体" w:cs="宋体"/>
                <w:b/>
                <w:bCs/>
                <w:color w:val="auto"/>
                <w:szCs w:val="22"/>
                <w:highlight w:val="none"/>
                <w:lang w:val="zh-CN"/>
              </w:rPr>
              <w:t>有限公司电子邮箱</w:t>
            </w:r>
            <w:r>
              <w:rPr>
                <w:rFonts w:hint="eastAsia" w:ascii="宋体" w:hAnsi="宋体"/>
                <w:b/>
                <w:bCs/>
                <w:color w:val="auto"/>
                <w:szCs w:val="22"/>
                <w:highlight w:val="none"/>
                <w:u w:val="single"/>
              </w:rPr>
              <w:t>41396739@qq.com</w:t>
            </w:r>
            <w:r>
              <w:rPr>
                <w:rFonts w:hint="eastAsia" w:ascii="宋体" w:hAnsi="宋体" w:cs="宋体"/>
                <w:b/>
                <w:bCs/>
                <w:color w:val="auto"/>
                <w:szCs w:val="22"/>
                <w:highlight w:val="none"/>
              </w:rPr>
              <w:t>，</w:t>
            </w:r>
            <w:r>
              <w:rPr>
                <w:rFonts w:hint="eastAsia" w:ascii="宋体" w:hAnsi="宋体" w:cs="宋体"/>
                <w:b/>
                <w:bCs/>
                <w:color w:val="auto"/>
                <w:szCs w:val="22"/>
                <w:highlight w:val="none"/>
                <w:lang w:val="zh-CN"/>
              </w:rPr>
              <w:t>递交</w:t>
            </w:r>
            <w:r>
              <w:rPr>
                <w:rFonts w:hint="eastAsia" w:ascii="宋体" w:hAnsi="宋体" w:cs="宋体"/>
                <w:b/>
                <w:bCs/>
                <w:color w:val="auto"/>
                <w:szCs w:val="22"/>
                <w:highlight w:val="none"/>
              </w:rPr>
              <w:t>1</w:t>
            </w:r>
            <w:r>
              <w:rPr>
                <w:rFonts w:hint="eastAsia" w:ascii="宋体" w:hAnsi="宋体" w:cs="宋体"/>
                <w:b/>
                <w:bCs/>
                <w:color w:val="auto"/>
                <w:szCs w:val="22"/>
                <w:highlight w:val="none"/>
                <w:lang w:val="zh-CN"/>
              </w:rPr>
              <w:t>份</w:t>
            </w:r>
            <w:r>
              <w:rPr>
                <w:rFonts w:hint="eastAsia" w:ascii="宋体" w:hAnsi="宋体" w:cs="宋体"/>
                <w:b/>
                <w:bCs/>
                <w:color w:val="auto"/>
                <w:szCs w:val="22"/>
                <w:highlight w:val="none"/>
              </w:rPr>
              <w:t>，</w:t>
            </w:r>
            <w:r>
              <w:rPr>
                <w:rFonts w:hint="eastAsia" w:ascii="宋体" w:hAnsi="宋体" w:cs="宋体"/>
                <w:b/>
                <w:bCs/>
                <w:color w:val="auto"/>
                <w:szCs w:val="22"/>
                <w:highlight w:val="none"/>
                <w:lang w:val="zh-CN"/>
              </w:rPr>
              <w:t>传送的备份响应文件需打包压缩并加密</w:t>
            </w:r>
            <w:r>
              <w:rPr>
                <w:rFonts w:hint="eastAsia" w:ascii="宋体" w:hAnsi="宋体" w:cs="宋体"/>
                <w:b/>
                <w:bCs/>
                <w:color w:val="auto"/>
                <w:szCs w:val="22"/>
                <w:highlight w:val="none"/>
              </w:rPr>
              <w:t>，</w:t>
            </w:r>
            <w:r>
              <w:rPr>
                <w:rFonts w:hint="eastAsia" w:ascii="宋体" w:hAnsi="宋体" w:cs="宋体"/>
                <w:b/>
                <w:bCs/>
                <w:color w:val="auto"/>
                <w:szCs w:val="22"/>
                <w:highlight w:val="none"/>
                <w:lang w:val="zh-CN"/>
              </w:rPr>
              <w:t>加密密码由供应商自行保管</w:t>
            </w:r>
            <w:r>
              <w:rPr>
                <w:rFonts w:hint="eastAsia" w:ascii="宋体" w:hAnsi="宋体" w:cs="宋体"/>
                <w:b/>
                <w:bCs/>
                <w:color w:val="auto"/>
                <w:szCs w:val="22"/>
                <w:highlight w:val="none"/>
              </w:rPr>
              <w:t>，未加密导致投标信息泄露的风险由供应商自行承担。</w:t>
            </w:r>
          </w:p>
          <w:p w14:paraId="4C26E3B5">
            <w:pPr>
              <w:pStyle w:val="24"/>
              <w:snapToGrid w:val="0"/>
              <w:spacing w:line="360" w:lineRule="exact"/>
              <w:rPr>
                <w:rFonts w:hAnsi="宋体" w:cs="宋体"/>
                <w:color w:val="auto"/>
                <w:sz w:val="22"/>
                <w:szCs w:val="22"/>
                <w:highlight w:val="none"/>
              </w:rPr>
            </w:pPr>
            <w:r>
              <w:rPr>
                <w:rFonts w:hint="eastAsia" w:hAnsi="宋体" w:cs="宋体"/>
                <w:b/>
                <w:bCs/>
                <w:color w:val="auto"/>
                <w:highlight w:val="none"/>
              </w:rPr>
              <w:t>响应文件由报价文件、</w:t>
            </w:r>
            <w:r>
              <w:rPr>
                <w:rFonts w:hint="eastAsia" w:hAnsi="宋体" w:cs="宋体"/>
                <w:b/>
                <w:color w:val="auto"/>
                <w:highlight w:val="none"/>
              </w:rPr>
              <w:t>资格文件、商务和</w:t>
            </w:r>
            <w:r>
              <w:rPr>
                <w:rFonts w:hint="eastAsia" w:hAnsi="宋体" w:cs="宋体"/>
                <w:b/>
                <w:bCs/>
                <w:color w:val="auto"/>
                <w:highlight w:val="none"/>
              </w:rPr>
              <w:t>技术文件三部分组成。</w:t>
            </w:r>
          </w:p>
        </w:tc>
      </w:tr>
      <w:tr w14:paraId="0C71CBDB">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20160B5F">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18</w:t>
            </w:r>
          </w:p>
        </w:tc>
        <w:tc>
          <w:tcPr>
            <w:tcW w:w="1712" w:type="dxa"/>
            <w:tcBorders>
              <w:top w:val="single" w:color="auto" w:sz="4" w:space="0"/>
              <w:left w:val="single" w:color="auto" w:sz="4" w:space="0"/>
              <w:bottom w:val="single" w:color="auto" w:sz="4" w:space="0"/>
              <w:right w:val="single" w:color="auto" w:sz="4" w:space="0"/>
            </w:tcBorders>
            <w:vAlign w:val="center"/>
          </w:tcPr>
          <w:p w14:paraId="3F98A7D7">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开评标程序</w:t>
            </w:r>
          </w:p>
        </w:tc>
        <w:tc>
          <w:tcPr>
            <w:tcW w:w="7295" w:type="dxa"/>
            <w:tcBorders>
              <w:top w:val="single" w:color="auto" w:sz="4" w:space="0"/>
              <w:left w:val="single" w:color="auto" w:sz="4" w:space="0"/>
              <w:bottom w:val="single" w:color="auto" w:sz="4" w:space="0"/>
              <w:right w:val="single" w:color="auto" w:sz="4" w:space="0"/>
            </w:tcBorders>
            <w:vAlign w:val="center"/>
          </w:tcPr>
          <w:p w14:paraId="4C74BDEE">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待开标→投标文件在线解密→代理机构或采购人在线资格性审查→评标委员会在线评标→系统公开商务技术文件评审结果→系统公开报价情况→评标委员会对报价情况进行评审→系统公布评审结果。</w:t>
            </w:r>
          </w:p>
          <w:p w14:paraId="21F3F3B5">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上述程序将根据政采云电子评标系统的调整而变动。</w:t>
            </w:r>
          </w:p>
        </w:tc>
      </w:tr>
      <w:tr w14:paraId="3095910D">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6F69015F">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19</w:t>
            </w:r>
          </w:p>
        </w:tc>
        <w:tc>
          <w:tcPr>
            <w:tcW w:w="1712" w:type="dxa"/>
            <w:tcBorders>
              <w:top w:val="single" w:color="auto" w:sz="4" w:space="0"/>
              <w:left w:val="single" w:color="auto" w:sz="4" w:space="0"/>
              <w:bottom w:val="single" w:color="auto" w:sz="4" w:space="0"/>
              <w:right w:val="single" w:color="auto" w:sz="4" w:space="0"/>
            </w:tcBorders>
            <w:vAlign w:val="center"/>
          </w:tcPr>
          <w:p w14:paraId="60B6608F">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评标委员会</w:t>
            </w:r>
          </w:p>
          <w:p w14:paraId="6DD07550">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的组建</w:t>
            </w:r>
          </w:p>
        </w:tc>
        <w:tc>
          <w:tcPr>
            <w:tcW w:w="7295" w:type="dxa"/>
            <w:tcBorders>
              <w:top w:val="single" w:color="auto" w:sz="4" w:space="0"/>
              <w:left w:val="single" w:color="auto" w:sz="4" w:space="0"/>
              <w:bottom w:val="single" w:color="auto" w:sz="4" w:space="0"/>
              <w:right w:val="single" w:color="auto" w:sz="4" w:space="0"/>
            </w:tcBorders>
            <w:vAlign w:val="center"/>
          </w:tcPr>
          <w:p w14:paraId="16E91DAA">
            <w:pPr>
              <w:spacing w:line="360" w:lineRule="exact"/>
              <w:rPr>
                <w:rFonts w:ascii="宋体" w:hAnsi="宋体" w:cs="宋体"/>
                <w:color w:val="auto"/>
                <w:sz w:val="22"/>
                <w:szCs w:val="22"/>
                <w:highlight w:val="none"/>
              </w:rPr>
            </w:pPr>
            <w:r>
              <w:rPr>
                <w:rFonts w:hint="eastAsia" w:ascii="宋体" w:hAnsi="宋体"/>
                <w:color w:val="auto"/>
                <w:sz w:val="22"/>
                <w:szCs w:val="22"/>
                <w:highlight w:val="none"/>
              </w:rPr>
              <w:t>评标委员会成员由采购人代表和有关技术、经济等方面的专家组成，成员人数为5人或以上单数，除采购人代表外的专家将在财政局的评标专家库中随机抽取产生。</w:t>
            </w:r>
          </w:p>
        </w:tc>
      </w:tr>
      <w:tr w14:paraId="72AC4BF3">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73EE45DA">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20</w:t>
            </w:r>
          </w:p>
        </w:tc>
        <w:tc>
          <w:tcPr>
            <w:tcW w:w="1712" w:type="dxa"/>
            <w:tcBorders>
              <w:top w:val="single" w:color="auto" w:sz="4" w:space="0"/>
              <w:left w:val="single" w:color="auto" w:sz="4" w:space="0"/>
              <w:bottom w:val="single" w:color="auto" w:sz="4" w:space="0"/>
              <w:right w:val="single" w:color="auto" w:sz="4" w:space="0"/>
            </w:tcBorders>
            <w:vAlign w:val="center"/>
          </w:tcPr>
          <w:p w14:paraId="558CB06D">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履约担保</w:t>
            </w:r>
          </w:p>
        </w:tc>
        <w:tc>
          <w:tcPr>
            <w:tcW w:w="7295" w:type="dxa"/>
            <w:tcBorders>
              <w:top w:val="single" w:color="auto" w:sz="4" w:space="0"/>
              <w:left w:val="single" w:color="auto" w:sz="4" w:space="0"/>
              <w:bottom w:val="single" w:color="auto" w:sz="4" w:space="0"/>
              <w:right w:val="single" w:color="auto" w:sz="4" w:space="0"/>
            </w:tcBorders>
            <w:vAlign w:val="center"/>
          </w:tcPr>
          <w:p w14:paraId="172D6235">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履约担保的形式：接受</w:t>
            </w:r>
            <w:r>
              <w:rPr>
                <w:rFonts w:ascii="宋体" w:hAnsi="宋体" w:cs="宋体"/>
                <w:color w:val="auto"/>
                <w:sz w:val="22"/>
                <w:szCs w:val="22"/>
                <w:highlight w:val="none"/>
              </w:rPr>
              <w:t>支票、汇票、本票或者金融机构、担保机构出具的保函等非现金形式</w:t>
            </w:r>
            <w:r>
              <w:rPr>
                <w:rFonts w:hint="eastAsia" w:ascii="宋体" w:hAnsi="宋体" w:cs="宋体"/>
                <w:color w:val="auto"/>
                <w:sz w:val="22"/>
                <w:szCs w:val="22"/>
                <w:highlight w:val="none"/>
              </w:rPr>
              <w:t>。</w:t>
            </w:r>
          </w:p>
          <w:p w14:paraId="6FB50C89">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履约担保的金额：合同金额的</w:t>
            </w:r>
            <w:r>
              <w:rPr>
                <w:rFonts w:ascii="宋体" w:hAnsi="宋体" w:cs="宋体"/>
                <w:color w:val="auto"/>
                <w:sz w:val="22"/>
                <w:szCs w:val="22"/>
                <w:highlight w:val="none"/>
              </w:rPr>
              <w:t>1</w:t>
            </w:r>
            <w:r>
              <w:rPr>
                <w:rFonts w:hint="eastAsia" w:ascii="宋体" w:hAnsi="宋体" w:cs="宋体"/>
                <w:color w:val="auto"/>
                <w:sz w:val="22"/>
                <w:szCs w:val="22"/>
                <w:highlight w:val="none"/>
              </w:rPr>
              <w:t>%</w:t>
            </w:r>
          </w:p>
          <w:p w14:paraId="777D7FC8">
            <w:pPr>
              <w:spacing w:line="360" w:lineRule="exact"/>
              <w:rPr>
                <w:rFonts w:ascii="宋体" w:hAnsi="宋体" w:cs="宋体"/>
                <w:b/>
                <w:color w:val="auto"/>
                <w:sz w:val="22"/>
                <w:szCs w:val="22"/>
                <w:highlight w:val="none"/>
              </w:rPr>
            </w:pPr>
            <w:r>
              <w:rPr>
                <w:rFonts w:hint="eastAsia" w:ascii="宋体" w:hAnsi="宋体"/>
                <w:color w:val="auto"/>
                <w:sz w:val="22"/>
                <w:szCs w:val="22"/>
                <w:highlight w:val="none"/>
              </w:rPr>
              <w:t>供应商</w:t>
            </w:r>
            <w:r>
              <w:rPr>
                <w:rFonts w:hint="eastAsia" w:ascii="宋体" w:hAnsi="宋体" w:cs="宋体"/>
                <w:color w:val="auto"/>
                <w:sz w:val="22"/>
                <w:szCs w:val="22"/>
                <w:highlight w:val="none"/>
              </w:rPr>
              <w:t>在签订合同后7个工作日内提交，用于补偿因</w:t>
            </w:r>
            <w:r>
              <w:rPr>
                <w:rFonts w:hint="eastAsia" w:ascii="宋体" w:hAnsi="宋体"/>
                <w:color w:val="auto"/>
                <w:sz w:val="22"/>
                <w:szCs w:val="22"/>
                <w:highlight w:val="none"/>
              </w:rPr>
              <w:t>供应商</w:t>
            </w:r>
            <w:r>
              <w:rPr>
                <w:rFonts w:hint="eastAsia" w:ascii="宋体" w:hAnsi="宋体" w:cs="宋体"/>
                <w:color w:val="auto"/>
                <w:sz w:val="22"/>
                <w:szCs w:val="22"/>
                <w:highlight w:val="none"/>
              </w:rPr>
              <w:t>不能履行其合同义务而造成的损失。项目验收结束后扣除</w:t>
            </w:r>
            <w:r>
              <w:rPr>
                <w:rFonts w:hint="eastAsia" w:ascii="宋体" w:hAnsi="宋体"/>
                <w:color w:val="auto"/>
                <w:sz w:val="22"/>
                <w:szCs w:val="22"/>
                <w:highlight w:val="none"/>
              </w:rPr>
              <w:t>供应商</w:t>
            </w:r>
            <w:r>
              <w:rPr>
                <w:rFonts w:hint="eastAsia" w:ascii="宋体" w:hAnsi="宋体" w:cs="宋体"/>
                <w:color w:val="auto"/>
                <w:sz w:val="22"/>
                <w:szCs w:val="22"/>
                <w:highlight w:val="none"/>
              </w:rPr>
              <w:t>应承担的违约赔偿责任外，剩余部分返还</w:t>
            </w:r>
            <w:r>
              <w:rPr>
                <w:rFonts w:hint="eastAsia" w:ascii="宋体" w:hAnsi="宋体"/>
                <w:color w:val="auto"/>
                <w:sz w:val="22"/>
                <w:szCs w:val="22"/>
                <w:highlight w:val="none"/>
              </w:rPr>
              <w:t>供应商</w:t>
            </w:r>
            <w:r>
              <w:rPr>
                <w:rFonts w:hint="eastAsia" w:ascii="宋体" w:hAnsi="宋体" w:cs="宋体"/>
                <w:color w:val="auto"/>
                <w:sz w:val="22"/>
                <w:szCs w:val="22"/>
                <w:highlight w:val="none"/>
              </w:rPr>
              <w:t>。</w:t>
            </w:r>
          </w:p>
        </w:tc>
      </w:tr>
      <w:tr w14:paraId="23FBEC0D">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6F084CB3">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21</w:t>
            </w:r>
          </w:p>
        </w:tc>
        <w:tc>
          <w:tcPr>
            <w:tcW w:w="1712" w:type="dxa"/>
            <w:tcBorders>
              <w:top w:val="single" w:color="auto" w:sz="4" w:space="0"/>
              <w:left w:val="single" w:color="auto" w:sz="4" w:space="0"/>
              <w:bottom w:val="single" w:color="auto" w:sz="4" w:space="0"/>
              <w:right w:val="single" w:color="auto" w:sz="4" w:space="0"/>
            </w:tcBorders>
            <w:vAlign w:val="center"/>
          </w:tcPr>
          <w:p w14:paraId="1BC3168A">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投标文件无效标条款</w:t>
            </w:r>
          </w:p>
        </w:tc>
        <w:tc>
          <w:tcPr>
            <w:tcW w:w="7295" w:type="dxa"/>
            <w:tcBorders>
              <w:top w:val="single" w:color="auto" w:sz="4" w:space="0"/>
              <w:left w:val="single" w:color="auto" w:sz="4" w:space="0"/>
              <w:bottom w:val="single" w:color="auto" w:sz="4" w:space="0"/>
              <w:right w:val="single" w:color="auto" w:sz="4" w:space="0"/>
            </w:tcBorders>
            <w:vAlign w:val="center"/>
          </w:tcPr>
          <w:p w14:paraId="0FF8F3E0">
            <w:pPr>
              <w:spacing w:line="360" w:lineRule="exact"/>
              <w:rPr>
                <w:rFonts w:ascii="宋体" w:hAnsi="宋体" w:cs="宋体"/>
                <w:b/>
                <w:color w:val="auto"/>
                <w:sz w:val="22"/>
                <w:szCs w:val="22"/>
                <w:highlight w:val="none"/>
              </w:rPr>
            </w:pPr>
            <w:r>
              <w:rPr>
                <w:rFonts w:hint="eastAsia" w:ascii="宋体" w:hAnsi="宋体" w:cs="宋体"/>
                <w:b/>
                <w:color w:val="auto"/>
                <w:sz w:val="22"/>
                <w:szCs w:val="22"/>
                <w:highlight w:val="none"/>
              </w:rPr>
              <w:t>详见招标文件第1</w:t>
            </w:r>
            <w:r>
              <w:rPr>
                <w:rFonts w:ascii="宋体" w:hAnsi="宋体" w:cs="宋体"/>
                <w:b/>
                <w:color w:val="auto"/>
                <w:sz w:val="22"/>
                <w:szCs w:val="22"/>
                <w:highlight w:val="none"/>
              </w:rPr>
              <w:t>8</w:t>
            </w:r>
            <w:r>
              <w:rPr>
                <w:rFonts w:hint="eastAsia" w:ascii="宋体" w:hAnsi="宋体" w:cs="宋体"/>
                <w:b/>
                <w:color w:val="auto"/>
                <w:sz w:val="22"/>
                <w:szCs w:val="22"/>
                <w:highlight w:val="none"/>
              </w:rPr>
              <w:t>页，第7点。</w:t>
            </w:r>
          </w:p>
        </w:tc>
      </w:tr>
      <w:tr w14:paraId="3A684D38">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0631C9DB">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22</w:t>
            </w:r>
          </w:p>
        </w:tc>
        <w:tc>
          <w:tcPr>
            <w:tcW w:w="1712" w:type="dxa"/>
            <w:tcBorders>
              <w:top w:val="single" w:color="auto" w:sz="4" w:space="0"/>
              <w:left w:val="single" w:color="auto" w:sz="4" w:space="0"/>
              <w:bottom w:val="single" w:color="auto" w:sz="4" w:space="0"/>
              <w:right w:val="single" w:color="auto" w:sz="4" w:space="0"/>
            </w:tcBorders>
            <w:vAlign w:val="center"/>
          </w:tcPr>
          <w:p w14:paraId="40DDE685">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供应商信用信息查询</w:t>
            </w:r>
          </w:p>
        </w:tc>
        <w:tc>
          <w:tcPr>
            <w:tcW w:w="7295" w:type="dxa"/>
            <w:tcBorders>
              <w:top w:val="single" w:color="auto" w:sz="4" w:space="0"/>
              <w:left w:val="single" w:color="auto" w:sz="4" w:space="0"/>
              <w:bottom w:val="single" w:color="auto" w:sz="4" w:space="0"/>
              <w:right w:val="single" w:color="auto" w:sz="4" w:space="0"/>
            </w:tcBorders>
            <w:vAlign w:val="center"/>
          </w:tcPr>
          <w:p w14:paraId="38CC1DBF">
            <w:pPr>
              <w:adjustRightInd w:val="0"/>
              <w:snapToGrid w:val="0"/>
              <w:spacing w:line="36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根据财库[2016]125号《关于在政府采购活动中查询及使用信用记录有关问题的通知》要求，采购代理机构会对供应商信用记录进行查询并甄别。</w:t>
            </w:r>
          </w:p>
          <w:p w14:paraId="5307FE5D">
            <w:pPr>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1.信用信息查询的截止时点：响应文件递交截止时间；</w:t>
            </w:r>
          </w:p>
          <w:p w14:paraId="58FA8D12">
            <w:pPr>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2.查询渠道：“信用中国”（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47"/>
                <w:rFonts w:hint="eastAsia" w:ascii="宋体" w:hAnsi="宋体" w:cs="宋体"/>
                <w:color w:val="auto"/>
                <w:sz w:val="22"/>
                <w:szCs w:val="22"/>
                <w:highlight w:val="none"/>
              </w:rPr>
              <w:t>www.creditchina.gov.cn</w:t>
            </w:r>
            <w:r>
              <w:rPr>
                <w:rStyle w:val="47"/>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47"/>
                <w:rFonts w:hint="eastAsia" w:ascii="宋体" w:hAnsi="宋体" w:cs="宋体"/>
                <w:color w:val="auto"/>
                <w:sz w:val="22"/>
                <w:szCs w:val="22"/>
                <w:highlight w:val="none"/>
              </w:rPr>
              <w:t>www.ccgp.gov.cn</w:t>
            </w:r>
            <w:r>
              <w:rPr>
                <w:rStyle w:val="47"/>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w:t>
            </w:r>
          </w:p>
          <w:p w14:paraId="76227316">
            <w:pPr>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3.信用信息的使用规则：供应商存在不良信用记录的，其投标将被作为无效投标被拒绝；</w:t>
            </w:r>
          </w:p>
          <w:p w14:paraId="7ADA0B25">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4.不良信用记录指：“信用中国”被列入失信被执行人和重大税收违法案件当事人名单或存在 《中华人民共和国政府采购法实施条例》 第十九条规定；中国政府采购网被列入政府采购严重违法失信行为记录名单。</w:t>
            </w:r>
          </w:p>
        </w:tc>
      </w:tr>
      <w:tr w14:paraId="2157DB9A">
        <w:tblPrEx>
          <w:tblCellMar>
            <w:top w:w="0" w:type="dxa"/>
            <w:left w:w="108" w:type="dxa"/>
            <w:bottom w:w="0" w:type="dxa"/>
            <w:right w:w="108" w:type="dxa"/>
          </w:tblCellMar>
        </w:tblPrEx>
        <w:trPr>
          <w:trHeight w:val="442" w:hRule="atLeast"/>
        </w:trPr>
        <w:tc>
          <w:tcPr>
            <w:tcW w:w="1001" w:type="dxa"/>
            <w:tcBorders>
              <w:top w:val="single" w:color="auto" w:sz="4" w:space="0"/>
              <w:left w:val="single" w:color="auto" w:sz="4" w:space="0"/>
              <w:bottom w:val="single" w:color="auto" w:sz="4" w:space="0"/>
              <w:right w:val="single" w:color="auto" w:sz="4" w:space="0"/>
            </w:tcBorders>
            <w:vAlign w:val="center"/>
          </w:tcPr>
          <w:p w14:paraId="558CB7BB">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23</w:t>
            </w:r>
          </w:p>
        </w:tc>
        <w:tc>
          <w:tcPr>
            <w:tcW w:w="1712" w:type="dxa"/>
            <w:tcBorders>
              <w:top w:val="single" w:color="auto" w:sz="4" w:space="0"/>
              <w:left w:val="single" w:color="auto" w:sz="4" w:space="0"/>
              <w:bottom w:val="single" w:color="auto" w:sz="4" w:space="0"/>
              <w:right w:val="single" w:color="auto" w:sz="4" w:space="0"/>
            </w:tcBorders>
            <w:vAlign w:val="center"/>
          </w:tcPr>
          <w:p w14:paraId="2CC5E385">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政府采购节能环保产品</w:t>
            </w:r>
          </w:p>
        </w:tc>
        <w:tc>
          <w:tcPr>
            <w:tcW w:w="7295" w:type="dxa"/>
            <w:tcBorders>
              <w:top w:val="single" w:color="auto" w:sz="4" w:space="0"/>
              <w:left w:val="single" w:color="auto" w:sz="4" w:space="0"/>
              <w:bottom w:val="single" w:color="auto" w:sz="4" w:space="0"/>
              <w:right w:val="single" w:color="auto" w:sz="4" w:space="0"/>
            </w:tcBorders>
            <w:vAlign w:val="center"/>
          </w:tcPr>
          <w:p w14:paraId="73573202">
            <w:pPr>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1.投标产品若属于节能（环保）产品的，请提供财政部、生态环境部发布有效期内《环境标志产品政府采购品目清单》以及财政部、发展改革委联合发布有效期内《节能产品政府采购品目清单》。</w:t>
            </w:r>
          </w:p>
          <w:p w14:paraId="24835CCE">
            <w:pPr>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2.《采购需求》中要求提供的产品属于《节能产品政府采购品目清单》中政府强制采购产品的，投标人须提供该清单内产品，否则其投标将作为无效标处理。</w:t>
            </w:r>
          </w:p>
        </w:tc>
      </w:tr>
      <w:tr w14:paraId="6F2AE781">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51538923">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24</w:t>
            </w:r>
          </w:p>
        </w:tc>
        <w:tc>
          <w:tcPr>
            <w:tcW w:w="1712" w:type="dxa"/>
            <w:tcBorders>
              <w:top w:val="single" w:color="auto" w:sz="4" w:space="0"/>
              <w:left w:val="single" w:color="auto" w:sz="4" w:space="0"/>
              <w:bottom w:val="single" w:color="auto" w:sz="4" w:space="0"/>
              <w:right w:val="single" w:color="auto" w:sz="4" w:space="0"/>
            </w:tcBorders>
            <w:vAlign w:val="center"/>
          </w:tcPr>
          <w:p w14:paraId="2E00CF25">
            <w:pPr>
              <w:spacing w:line="360" w:lineRule="exact"/>
              <w:jc w:val="center"/>
              <w:rPr>
                <w:rFonts w:ascii="宋体" w:hAnsi="宋体" w:cs="宋体"/>
                <w:color w:val="auto"/>
                <w:sz w:val="22"/>
                <w:szCs w:val="22"/>
                <w:highlight w:val="none"/>
              </w:rPr>
            </w:pPr>
            <w:r>
              <w:rPr>
                <w:rFonts w:hint="eastAsia" w:ascii="宋体" w:hAnsi="宋体" w:cs="仿宋"/>
                <w:bCs/>
                <w:color w:val="auto"/>
                <w:sz w:val="22"/>
                <w:szCs w:val="22"/>
                <w:highlight w:val="none"/>
              </w:rPr>
              <w:t>是否允许采购进口产品</w:t>
            </w:r>
          </w:p>
        </w:tc>
        <w:tc>
          <w:tcPr>
            <w:tcW w:w="7295" w:type="dxa"/>
            <w:tcBorders>
              <w:top w:val="single" w:color="auto" w:sz="4" w:space="0"/>
              <w:left w:val="single" w:color="auto" w:sz="4" w:space="0"/>
              <w:bottom w:val="single" w:color="auto" w:sz="4" w:space="0"/>
              <w:right w:val="single" w:color="auto" w:sz="4" w:space="0"/>
            </w:tcBorders>
            <w:vAlign w:val="center"/>
          </w:tcPr>
          <w:p w14:paraId="397D378C">
            <w:pPr>
              <w:spacing w:line="360" w:lineRule="exact"/>
              <w:rPr>
                <w:rFonts w:ascii="宋体" w:hAnsi="宋体" w:cs="仿宋"/>
                <w:bCs/>
                <w:color w:val="auto"/>
                <w:sz w:val="22"/>
                <w:szCs w:val="22"/>
                <w:highlight w:val="none"/>
              </w:rPr>
            </w:pPr>
            <w:r>
              <w:rPr>
                <w:rFonts w:hint="eastAsia" w:ascii="宋体" w:hAnsi="宋体" w:cs="仿宋"/>
                <w:color w:val="auto"/>
                <w:sz w:val="22"/>
                <w:szCs w:val="22"/>
                <w:highlight w:val="none"/>
              </w:rPr>
              <w:sym w:font="Wingdings" w:char="00FE"/>
            </w:r>
            <w:r>
              <w:rPr>
                <w:rFonts w:hint="eastAsia" w:ascii="宋体" w:hAnsi="宋体" w:cs="仿宋"/>
                <w:bCs/>
                <w:color w:val="auto"/>
                <w:sz w:val="22"/>
                <w:szCs w:val="22"/>
                <w:highlight w:val="none"/>
              </w:rPr>
              <w:t>本项目不允许采购进口产品。</w:t>
            </w:r>
          </w:p>
          <w:p w14:paraId="58928802">
            <w:pPr>
              <w:spacing w:line="360" w:lineRule="exact"/>
              <w:rPr>
                <w:rFonts w:ascii="宋体" w:hAnsi="宋体" w:cs="宋体"/>
                <w:color w:val="auto"/>
                <w:sz w:val="22"/>
                <w:szCs w:val="22"/>
                <w:highlight w:val="none"/>
              </w:rPr>
            </w:pPr>
            <w:r>
              <w:rPr>
                <w:rFonts w:hint="eastAsia" w:ascii="宋体" w:hAnsi="宋体" w:cs="仿宋"/>
                <w:bCs/>
                <w:color w:val="auto"/>
                <w:sz w:val="22"/>
                <w:szCs w:val="22"/>
                <w:highlight w:val="none"/>
              </w:rPr>
              <w:sym w:font="Wingdings" w:char="00A8"/>
            </w:r>
            <w:r>
              <w:rPr>
                <w:rFonts w:hint="eastAsia" w:ascii="宋体" w:hAnsi="宋体" w:cs="仿宋"/>
                <w:bCs/>
                <w:color w:val="auto"/>
                <w:sz w:val="22"/>
                <w:szCs w:val="22"/>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214E29AD">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36B5E165">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25</w:t>
            </w:r>
          </w:p>
        </w:tc>
        <w:tc>
          <w:tcPr>
            <w:tcW w:w="1712" w:type="dxa"/>
            <w:tcBorders>
              <w:top w:val="single" w:color="auto" w:sz="4" w:space="0"/>
              <w:left w:val="single" w:color="auto" w:sz="4" w:space="0"/>
              <w:bottom w:val="single" w:color="auto" w:sz="4" w:space="0"/>
              <w:right w:val="single" w:color="auto" w:sz="4" w:space="0"/>
            </w:tcBorders>
            <w:vAlign w:val="center"/>
          </w:tcPr>
          <w:p w14:paraId="4EE11A7A">
            <w:pPr>
              <w:spacing w:line="360" w:lineRule="exact"/>
              <w:jc w:val="center"/>
              <w:rPr>
                <w:rFonts w:ascii="宋体" w:hAnsi="宋体"/>
                <w:b/>
                <w:color w:val="auto"/>
                <w:sz w:val="22"/>
                <w:szCs w:val="22"/>
                <w:highlight w:val="none"/>
              </w:rPr>
            </w:pPr>
            <w:r>
              <w:rPr>
                <w:rFonts w:hint="eastAsia" w:ascii="宋体" w:hAnsi="宋体" w:cs="仿宋"/>
                <w:bCs/>
                <w:color w:val="auto"/>
                <w:sz w:val="22"/>
                <w:szCs w:val="22"/>
                <w:highlight w:val="none"/>
              </w:rPr>
              <w:t>本项目扶持中小企业（监狱企业、残疾人福利性单位）有关政策</w:t>
            </w:r>
          </w:p>
        </w:tc>
        <w:tc>
          <w:tcPr>
            <w:tcW w:w="7295" w:type="dxa"/>
            <w:tcBorders>
              <w:top w:val="single" w:color="auto" w:sz="4" w:space="0"/>
              <w:left w:val="single" w:color="auto" w:sz="4" w:space="0"/>
              <w:bottom w:val="single" w:color="auto" w:sz="4" w:space="0"/>
              <w:right w:val="single" w:color="auto" w:sz="4" w:space="0"/>
            </w:tcBorders>
            <w:vAlign w:val="center"/>
          </w:tcPr>
          <w:p w14:paraId="7BAE7368">
            <w:pPr>
              <w:spacing w:line="360" w:lineRule="exact"/>
              <w:rPr>
                <w:rFonts w:ascii="宋体" w:hAnsi="宋体" w:cs="仿宋"/>
                <w:b/>
                <w:bCs/>
                <w:color w:val="auto"/>
                <w:sz w:val="22"/>
                <w:szCs w:val="22"/>
                <w:highlight w:val="none"/>
              </w:rPr>
            </w:pPr>
            <w:r>
              <w:rPr>
                <w:rFonts w:ascii="宋体" w:hAnsi="宋体" w:cs="仿宋"/>
                <w:b/>
                <w:bCs/>
                <w:color w:val="auto"/>
                <w:sz w:val="22"/>
                <w:szCs w:val="22"/>
                <w:highlight w:val="none"/>
              </w:rPr>
              <w:t xml:space="preserve">1、扶持中小企业（监狱企业、残疾人福利性单位）： </w:t>
            </w:r>
          </w:p>
          <w:p w14:paraId="326AA7CF">
            <w:pPr>
              <w:spacing w:line="360" w:lineRule="exact"/>
              <w:rPr>
                <w:rFonts w:ascii="宋体" w:hAnsi="宋体" w:cs="仿宋"/>
                <w:color w:val="auto"/>
                <w:sz w:val="22"/>
                <w:szCs w:val="22"/>
                <w:highlight w:val="none"/>
              </w:rPr>
            </w:pPr>
            <w:r>
              <w:rPr>
                <w:rFonts w:hint="eastAsia" w:ascii="宋体" w:hAnsi="宋体" w:cs="仿宋"/>
                <w:color w:val="auto"/>
                <w:sz w:val="22"/>
                <w:szCs w:val="22"/>
                <w:highlight w:val="none"/>
              </w:rPr>
              <w:t>（</w:t>
            </w:r>
            <w:r>
              <w:rPr>
                <w:rFonts w:ascii="宋体" w:hAnsi="宋体" w:cs="仿宋"/>
                <w:color w:val="auto"/>
                <w:sz w:val="22"/>
                <w:szCs w:val="22"/>
                <w:highlight w:val="none"/>
              </w:rPr>
              <w:t>1）根据工信部等部委发布的《关于印发中小企业划型标准规定的通知》（工信部联企业〔2011〕300号），本项目属于</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农、林、牧、渔业，</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工业（包括采矿业，制造业，电力、热力、燃气及水生产和供应业），</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建筑业，</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批发业，</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零售业，</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交通运输业（不含铁路运输业），</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仓储业，</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邮政业，</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住宿业，</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餐饮业，</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信息传输业（包括电信、互联网和相关服务），</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软件和信息技术服务业，</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房地产开发经营，</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物业管理，</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租赁和商务服务业，</w:t>
            </w:r>
            <w:r>
              <w:rPr>
                <w:rFonts w:ascii="宋体" w:hAnsi="宋体" w:cs="仿宋"/>
                <w:color w:val="auto"/>
                <w:sz w:val="22"/>
                <w:szCs w:val="22"/>
                <w:highlight w:val="none"/>
                <w:u w:val="single"/>
              </w:rPr>
              <w:sym w:font="Wingdings" w:char="00FE"/>
            </w:r>
            <w:r>
              <w:rPr>
                <w:rFonts w:hint="eastAsia" w:ascii="宋体" w:hAnsi="宋体" w:cs="仿宋"/>
                <w:color w:val="auto"/>
                <w:sz w:val="22"/>
                <w:szCs w:val="22"/>
                <w:highlight w:val="none"/>
                <w:u w:val="single"/>
              </w:rPr>
              <w:t>其他未列明行业（包括科学研究和技术服务业，水利、环境和公共设施管理业，居民服务、修理和其他服务业，社会工作，文化、体育和娱乐业等）</w:t>
            </w:r>
            <w:r>
              <w:rPr>
                <w:rFonts w:ascii="宋体" w:hAnsi="宋体" w:cs="仿宋"/>
                <w:color w:val="auto"/>
                <w:sz w:val="22"/>
                <w:szCs w:val="22"/>
                <w:highlight w:val="none"/>
              </w:rPr>
              <w:t xml:space="preserve"> 行业。</w:t>
            </w:r>
          </w:p>
          <w:p w14:paraId="40565BFF">
            <w:pPr>
              <w:spacing w:line="360" w:lineRule="exact"/>
              <w:rPr>
                <w:rFonts w:ascii="宋体" w:hAnsi="宋体" w:cs="仿宋"/>
                <w:color w:val="auto"/>
                <w:sz w:val="22"/>
                <w:szCs w:val="22"/>
                <w:highlight w:val="none"/>
              </w:rPr>
            </w:pPr>
            <w:r>
              <w:rPr>
                <w:rFonts w:hint="eastAsia" w:ascii="宋体" w:hAnsi="宋体" w:cs="仿宋"/>
                <w:color w:val="auto"/>
                <w:sz w:val="22"/>
                <w:szCs w:val="22"/>
                <w:highlight w:val="none"/>
              </w:rPr>
              <w:t>（</w:t>
            </w:r>
            <w:r>
              <w:rPr>
                <w:rFonts w:ascii="宋体" w:hAnsi="宋体" w:cs="仿宋"/>
                <w:color w:val="auto"/>
                <w:sz w:val="22"/>
                <w:szCs w:val="22"/>
                <w:highlight w:val="none"/>
              </w:rPr>
              <w:t>2）中小企业划型标准：根据（关于印发《中小企业划型标准规定》的通知）（工信部联企业【2011</w:t>
            </w:r>
            <w:r>
              <w:rPr>
                <w:rFonts w:hint="eastAsia" w:ascii="宋体" w:hAnsi="宋体" w:cs="仿宋"/>
                <w:color w:val="auto"/>
                <w:sz w:val="22"/>
                <w:szCs w:val="22"/>
                <w:highlight w:val="none"/>
              </w:rPr>
              <w:t>】</w:t>
            </w:r>
            <w:r>
              <w:rPr>
                <w:rFonts w:ascii="宋体" w:hAnsi="宋体" w:cs="仿宋"/>
                <w:color w:val="auto"/>
                <w:sz w:val="22"/>
                <w:szCs w:val="22"/>
                <w:highlight w:val="none"/>
              </w:rPr>
              <w:t>300</w:t>
            </w:r>
            <w:r>
              <w:rPr>
                <w:rFonts w:hint="eastAsia" w:ascii="宋体" w:hAnsi="宋体" w:cs="仿宋"/>
                <w:color w:val="auto"/>
                <w:sz w:val="22"/>
                <w:szCs w:val="22"/>
                <w:highlight w:val="none"/>
              </w:rPr>
              <w:t>号）的文件规定确定。</w:t>
            </w:r>
          </w:p>
          <w:p w14:paraId="52F33487">
            <w:pPr>
              <w:spacing w:line="360" w:lineRule="exact"/>
              <w:rPr>
                <w:rFonts w:ascii="宋体" w:hAnsi="宋体" w:cs="仿宋"/>
                <w:color w:val="auto"/>
                <w:sz w:val="22"/>
                <w:szCs w:val="22"/>
                <w:highlight w:val="none"/>
              </w:rPr>
            </w:pPr>
            <w:r>
              <w:rPr>
                <w:rFonts w:ascii="宋体" w:hAnsi="宋体" w:cs="仿宋"/>
                <w:color w:val="auto"/>
                <w:sz w:val="22"/>
                <w:szCs w:val="22"/>
                <w:highlight w:val="none"/>
              </w:rPr>
              <w:t>2、根据财政部发布的《政府采购促进中小企业发展管理办法》财库（2020）46号、《浙江省财政厅关于进一步发挥政府采购政策功能全力推动经济稳进提质的通知》（浙财采监〔2022〕3号）、（浙财采监〔2022〕8</w:t>
            </w:r>
            <w:r>
              <w:rPr>
                <w:rFonts w:hint="eastAsia" w:ascii="宋体" w:hAnsi="宋体" w:cs="仿宋"/>
                <w:color w:val="auto"/>
                <w:sz w:val="22"/>
                <w:szCs w:val="22"/>
                <w:highlight w:val="none"/>
              </w:rPr>
              <w:t>号）、（财库〔</w:t>
            </w:r>
            <w:r>
              <w:rPr>
                <w:rFonts w:ascii="宋体" w:hAnsi="宋体" w:cs="仿宋"/>
                <w:color w:val="auto"/>
                <w:sz w:val="22"/>
                <w:szCs w:val="22"/>
                <w:highlight w:val="none"/>
              </w:rPr>
              <w:t>2022〕19</w:t>
            </w:r>
            <w:r>
              <w:rPr>
                <w:rFonts w:hint="eastAsia" w:ascii="宋体" w:hAnsi="宋体" w:cs="仿宋"/>
                <w:color w:val="auto"/>
                <w:sz w:val="22"/>
                <w:szCs w:val="22"/>
                <w:highlight w:val="none"/>
              </w:rPr>
              <w:t>号）的相关规定：</w:t>
            </w:r>
          </w:p>
          <w:p w14:paraId="169B6DAB">
            <w:pPr>
              <w:spacing w:line="360" w:lineRule="exact"/>
              <w:ind w:firstLine="110" w:firstLineChars="50"/>
              <w:rPr>
                <w:rFonts w:ascii="宋体" w:hAnsi="宋体" w:cs="仿宋"/>
                <w:color w:val="auto"/>
                <w:sz w:val="22"/>
                <w:szCs w:val="22"/>
                <w:highlight w:val="none"/>
              </w:rPr>
            </w:pPr>
            <w:r>
              <w:rPr>
                <w:rFonts w:ascii="宋体" w:hAnsi="宋体" w:cs="仿宋"/>
                <w:color w:val="auto"/>
                <w:sz w:val="22"/>
                <w:szCs w:val="22"/>
                <w:highlight w:val="none"/>
              </w:rPr>
              <w:t>2.1.是否为预留份额项目：</w:t>
            </w:r>
          </w:p>
          <w:p w14:paraId="3782E675">
            <w:pPr>
              <w:spacing w:line="360" w:lineRule="exact"/>
              <w:rPr>
                <w:rFonts w:ascii="宋体" w:hAnsi="宋体" w:cs="仿宋"/>
                <w:color w:val="auto"/>
                <w:sz w:val="22"/>
                <w:szCs w:val="22"/>
                <w:highlight w:val="none"/>
              </w:rPr>
            </w:pPr>
            <w:r>
              <w:rPr>
                <w:rFonts w:ascii="宋体" w:hAnsi="宋体" w:cs="仿宋"/>
                <w:color w:val="auto"/>
                <w:sz w:val="22"/>
                <w:szCs w:val="22"/>
                <w:highlight w:val="none"/>
              </w:rPr>
              <w:sym w:font="Wingdings" w:char="00FE"/>
            </w:r>
            <w:r>
              <w:rPr>
                <w:rFonts w:hint="eastAsia" w:ascii="宋体" w:hAnsi="宋体" w:cs="仿宋"/>
                <w:color w:val="auto"/>
                <w:sz w:val="22"/>
                <w:szCs w:val="22"/>
                <w:highlight w:val="none"/>
              </w:rPr>
              <w:t>本项目为预留份额项目，专门面向中小企业采购。</w:t>
            </w:r>
          </w:p>
          <w:p w14:paraId="5FF42573">
            <w:pPr>
              <w:spacing w:line="360" w:lineRule="exact"/>
              <w:ind w:left="221" w:hanging="221" w:hangingChars="100"/>
              <w:rPr>
                <w:rFonts w:ascii="宋体" w:hAnsi="宋体" w:cs="仿宋"/>
                <w:color w:val="auto"/>
                <w:sz w:val="22"/>
                <w:szCs w:val="22"/>
                <w:highlight w:val="none"/>
              </w:rPr>
            </w:pPr>
            <w:r>
              <w:rPr>
                <w:rFonts w:hint="eastAsia" w:ascii="宋体" w:hAnsi="宋体" w:cs="宋体"/>
                <w:b/>
                <w:snapToGrid w:val="0"/>
                <w:color w:val="auto"/>
                <w:sz w:val="22"/>
                <w:szCs w:val="22"/>
                <w:highlight w:val="none"/>
              </w:rPr>
              <w:sym w:font="Wingdings" w:char="00A8"/>
            </w:r>
            <w:r>
              <w:rPr>
                <w:rFonts w:hint="eastAsia" w:ascii="宋体" w:hAnsi="宋体" w:cs="仿宋"/>
                <w:color w:val="auto"/>
                <w:sz w:val="22"/>
                <w:szCs w:val="22"/>
                <w:highlight w:val="none"/>
              </w:rPr>
              <w:t>本项目为非预留份额项目、非专门面向中小企业的项目</w:t>
            </w:r>
          </w:p>
          <w:p w14:paraId="0749C140">
            <w:pPr>
              <w:spacing w:line="360" w:lineRule="exact"/>
              <w:ind w:left="221" w:hanging="221" w:hangingChars="100"/>
              <w:rPr>
                <w:rFonts w:ascii="宋体" w:hAnsi="宋体" w:cs="仿宋"/>
                <w:color w:val="auto"/>
                <w:sz w:val="22"/>
                <w:szCs w:val="22"/>
                <w:highlight w:val="none"/>
              </w:rPr>
            </w:pPr>
            <w:r>
              <w:rPr>
                <w:rFonts w:hint="eastAsia" w:ascii="宋体" w:hAnsi="宋体" w:cs="宋体"/>
                <w:b/>
                <w:snapToGrid w:val="0"/>
                <w:color w:val="auto"/>
                <w:sz w:val="22"/>
                <w:szCs w:val="22"/>
                <w:highlight w:val="none"/>
              </w:rPr>
              <w:sym w:font="Wingdings" w:char="00A8"/>
            </w:r>
            <w:r>
              <w:rPr>
                <w:rFonts w:hint="eastAsia" w:ascii="宋体" w:hAnsi="宋体" w:cs="仿宋"/>
                <w:color w:val="auto"/>
                <w:sz w:val="22"/>
                <w:szCs w:val="22"/>
                <w:highlight w:val="none"/>
              </w:rPr>
              <w:t>在评审时对小型和微型企业报价给予</w:t>
            </w:r>
            <w:r>
              <w:rPr>
                <w:rFonts w:hint="eastAsia" w:ascii="宋体" w:hAnsi="宋体" w:cs="仿宋"/>
                <w:color w:val="auto"/>
                <w:sz w:val="22"/>
                <w:szCs w:val="22"/>
                <w:highlight w:val="none"/>
                <w:u w:val="single"/>
              </w:rPr>
              <w:t xml:space="preserve"> 10% </w:t>
            </w:r>
            <w:r>
              <w:rPr>
                <w:rFonts w:hint="eastAsia" w:ascii="宋体" w:hAnsi="宋体" w:cs="仿宋"/>
                <w:color w:val="auto"/>
                <w:sz w:val="22"/>
                <w:szCs w:val="22"/>
                <w:highlight w:val="none"/>
              </w:rPr>
              <w:t>的扣除，用扣除后的价格参加评审。适用招标投标法的政府采购工程建设项目，采用综合评估法但未采用低价优先法计算价格分，评标时在采用原报价进行评分的基础上增加其价格得分的</w:t>
            </w:r>
            <w:r>
              <w:rPr>
                <w:rFonts w:ascii="宋体" w:hAnsi="宋体" w:cs="仿宋"/>
                <w:color w:val="auto"/>
                <w:sz w:val="22"/>
                <w:szCs w:val="22"/>
                <w:highlight w:val="none"/>
                <w:u w:val="single"/>
              </w:rPr>
              <w:t>/</w:t>
            </w:r>
            <w:r>
              <w:rPr>
                <w:rFonts w:hint="eastAsia" w:ascii="宋体" w:hAnsi="宋体" w:cs="仿宋"/>
                <w:color w:val="auto"/>
                <w:sz w:val="22"/>
                <w:szCs w:val="22"/>
                <w:highlight w:val="none"/>
              </w:rPr>
              <w:t>%（3%-5%）作为其价格分。</w:t>
            </w:r>
          </w:p>
          <w:p w14:paraId="2187D1F3">
            <w:pPr>
              <w:spacing w:line="360" w:lineRule="exact"/>
              <w:rPr>
                <w:rFonts w:ascii="宋体" w:hAnsi="宋体" w:cs="仿宋"/>
                <w:color w:val="auto"/>
                <w:sz w:val="22"/>
                <w:szCs w:val="22"/>
                <w:highlight w:val="none"/>
              </w:rPr>
            </w:pPr>
            <w:r>
              <w:rPr>
                <w:rFonts w:ascii="宋体" w:hAnsi="宋体" w:cs="仿宋"/>
                <w:color w:val="auto"/>
                <w:sz w:val="22"/>
                <w:szCs w:val="22"/>
                <w:highlight w:val="none"/>
              </w:rPr>
              <w:sym w:font="Wingdings" w:char="00A8"/>
            </w:r>
            <w:r>
              <w:rPr>
                <w:rFonts w:hint="eastAsia" w:ascii="宋体" w:hAnsi="宋体" w:cs="仿宋"/>
                <w:color w:val="auto"/>
                <w:sz w:val="22"/>
                <w:szCs w:val="22"/>
                <w:highlight w:val="none"/>
              </w:rPr>
              <w:t>本项目为</w:t>
            </w:r>
            <w:r>
              <w:rPr>
                <w:rFonts w:ascii="宋体" w:hAnsi="宋体" w:cs="仿宋"/>
                <w:color w:val="auto"/>
                <w:sz w:val="22"/>
                <w:szCs w:val="22"/>
                <w:highlight w:val="none"/>
              </w:rPr>
              <w:sym w:font="Wingdings" w:char="00A8"/>
            </w:r>
            <w:r>
              <w:rPr>
                <w:rFonts w:hint="eastAsia" w:ascii="宋体" w:hAnsi="宋体" w:cs="仿宋"/>
                <w:color w:val="auto"/>
                <w:sz w:val="22"/>
                <w:szCs w:val="22"/>
                <w:highlight w:val="none"/>
              </w:rPr>
              <w:t>接受大中型企业与小微企业组成联合体、</w:t>
            </w:r>
            <w:r>
              <w:rPr>
                <w:rFonts w:ascii="宋体" w:hAnsi="宋体" w:cs="仿宋"/>
                <w:color w:val="auto"/>
                <w:sz w:val="22"/>
                <w:szCs w:val="22"/>
                <w:highlight w:val="none"/>
              </w:rPr>
              <w:sym w:font="Wingdings" w:char="00A8"/>
            </w:r>
            <w:r>
              <w:rPr>
                <w:rFonts w:hint="eastAsia" w:ascii="宋体" w:hAnsi="宋体" w:cs="仿宋"/>
                <w:color w:val="auto"/>
                <w:sz w:val="22"/>
                <w:szCs w:val="22"/>
                <w:highlight w:val="none"/>
              </w:rPr>
              <w:t>允许大中型企业向一家或者多家小微企业分包的采购项目，对于联合协议或者分包意向协议约定小微企业的合同份额占到合同总金额</w:t>
            </w:r>
            <w:r>
              <w:rPr>
                <w:rFonts w:ascii="宋体" w:hAnsi="宋体" w:cs="仿宋"/>
                <w:color w:val="auto"/>
                <w:sz w:val="22"/>
                <w:szCs w:val="22"/>
                <w:highlight w:val="none"/>
              </w:rPr>
              <w:t>30%以上的，对联合体或者大中型企业的报价给予</w:t>
            </w:r>
            <w:r>
              <w:rPr>
                <w:rFonts w:ascii="宋体" w:hAnsi="宋体" w:cs="仿宋"/>
                <w:color w:val="auto"/>
                <w:sz w:val="22"/>
                <w:szCs w:val="22"/>
                <w:highlight w:val="none"/>
                <w:u w:val="single"/>
              </w:rPr>
              <w:t>4</w:t>
            </w:r>
            <w:r>
              <w:rPr>
                <w:rFonts w:ascii="宋体" w:hAnsi="宋体" w:cs="仿宋"/>
                <w:color w:val="auto"/>
                <w:sz w:val="22"/>
                <w:szCs w:val="22"/>
                <w:highlight w:val="none"/>
              </w:rPr>
              <w:t>%（4%-6%），工程项目为</w:t>
            </w:r>
            <w:r>
              <w:rPr>
                <w:rFonts w:ascii="宋体" w:hAnsi="宋体" w:cs="仿宋"/>
                <w:color w:val="auto"/>
                <w:sz w:val="22"/>
                <w:szCs w:val="22"/>
                <w:highlight w:val="none"/>
                <w:u w:val="single"/>
              </w:rPr>
              <w:t>/ %（1%—2%）</w:t>
            </w:r>
            <w:r>
              <w:rPr>
                <w:rFonts w:hint="eastAsia" w:ascii="宋体" w:hAnsi="宋体" w:cs="仿宋"/>
                <w:color w:val="auto"/>
                <w:sz w:val="22"/>
                <w:szCs w:val="22"/>
                <w:highlight w:val="none"/>
              </w:rPr>
              <w:t>的扣除，用扣除后的价格参加评审。</w:t>
            </w:r>
            <w:r>
              <w:rPr>
                <w:rFonts w:ascii="宋体" w:hAnsi="宋体" w:cs="仿宋"/>
                <w:color w:val="auto"/>
                <w:sz w:val="22"/>
                <w:szCs w:val="22"/>
                <w:highlight w:val="none"/>
              </w:rPr>
              <w:sym w:font="Wingdings" w:char="00A8"/>
            </w:r>
            <w:r>
              <w:rPr>
                <w:rFonts w:hint="eastAsia" w:ascii="宋体" w:hAnsi="宋体" w:cs="仿宋"/>
                <w:color w:val="auto"/>
                <w:sz w:val="22"/>
                <w:szCs w:val="22"/>
                <w:highlight w:val="none"/>
              </w:rPr>
              <w:t>本项目为适用招标投标法的政府采购工程建设项目，采用综合评估法但未采用低价优先法计算价格分，评标时在采用原报价进行评分的基础上增加其价格得分的</w:t>
            </w:r>
            <w:r>
              <w:rPr>
                <w:rFonts w:ascii="宋体" w:hAnsi="宋体" w:cs="仿宋"/>
                <w:color w:val="auto"/>
                <w:sz w:val="22"/>
                <w:szCs w:val="22"/>
                <w:highlight w:val="none"/>
                <w:u w:val="single"/>
              </w:rPr>
              <w:t>/</w:t>
            </w:r>
            <w:r>
              <w:rPr>
                <w:rFonts w:ascii="宋体" w:hAnsi="宋体" w:cs="仿宋"/>
                <w:color w:val="auto"/>
                <w:sz w:val="22"/>
                <w:szCs w:val="22"/>
                <w:highlight w:val="none"/>
              </w:rPr>
              <w:t xml:space="preserve"> %（1%—2%）作为其价格分。</w:t>
            </w:r>
          </w:p>
          <w:p w14:paraId="26273C2D">
            <w:pPr>
              <w:spacing w:line="360" w:lineRule="exact"/>
              <w:rPr>
                <w:rFonts w:ascii="宋体" w:hAnsi="宋体" w:cs="仿宋"/>
                <w:color w:val="auto"/>
                <w:sz w:val="22"/>
                <w:szCs w:val="22"/>
                <w:highlight w:val="none"/>
              </w:rPr>
            </w:pPr>
            <w:r>
              <w:rPr>
                <w:rFonts w:ascii="宋体" w:hAnsi="宋体" w:cs="仿宋"/>
                <w:color w:val="auto"/>
                <w:sz w:val="22"/>
                <w:szCs w:val="22"/>
                <w:highlight w:val="none"/>
              </w:rPr>
              <w:t>2.2组成联合体或者接受分包的小微企业与联合体内其他企业、分包企业之间存在直接控股、管理关系的，不享受价格扣除优惠政策。</w:t>
            </w:r>
          </w:p>
          <w:p w14:paraId="456A7E96">
            <w:pPr>
              <w:spacing w:line="360" w:lineRule="exact"/>
              <w:rPr>
                <w:rFonts w:ascii="宋体" w:hAnsi="宋体" w:cs="仿宋"/>
                <w:color w:val="auto"/>
                <w:sz w:val="22"/>
                <w:szCs w:val="22"/>
                <w:highlight w:val="none"/>
              </w:rPr>
            </w:pPr>
            <w:r>
              <w:rPr>
                <w:rFonts w:ascii="宋体" w:hAnsi="宋体" w:cs="仿宋"/>
                <w:color w:val="auto"/>
                <w:sz w:val="22"/>
                <w:szCs w:val="22"/>
                <w:highlight w:val="none"/>
              </w:rPr>
              <w:t>2.3价格扣除比例或者价格分加分比例对小型企业和微型企业同等对待，不作区分。</w:t>
            </w:r>
          </w:p>
          <w:p w14:paraId="574E8BE9">
            <w:pPr>
              <w:spacing w:line="360" w:lineRule="exact"/>
              <w:rPr>
                <w:rFonts w:ascii="宋体" w:hAnsi="宋体" w:cs="仿宋"/>
                <w:color w:val="auto"/>
                <w:sz w:val="22"/>
                <w:szCs w:val="22"/>
                <w:highlight w:val="none"/>
              </w:rPr>
            </w:pPr>
            <w:r>
              <w:rPr>
                <w:rFonts w:ascii="宋体" w:hAnsi="宋体" w:cs="仿宋"/>
                <w:color w:val="auto"/>
                <w:sz w:val="22"/>
                <w:szCs w:val="22"/>
                <w:highlight w:val="none"/>
              </w:rPr>
              <w:t>2.4在货物采购项目中，供应商提供的货物既有中小企业制造货物，也有大型企业制造货物的，不享受本办法规定的中小企业扶持政策。以联合体形式参加政府采购活动，联合体各方均为中小企业的</w:t>
            </w:r>
            <w:r>
              <w:rPr>
                <w:rFonts w:hint="eastAsia" w:ascii="宋体" w:hAnsi="宋体" w:cs="仿宋"/>
                <w:color w:val="auto"/>
                <w:sz w:val="22"/>
                <w:szCs w:val="22"/>
                <w:highlight w:val="none"/>
              </w:rPr>
              <w:t>，联合体视同中小企业。其中，联合体各方均为小微企业的，联合体视同小微企业。</w:t>
            </w:r>
          </w:p>
          <w:p w14:paraId="7977C8A5">
            <w:pPr>
              <w:spacing w:line="360" w:lineRule="exact"/>
              <w:rPr>
                <w:rFonts w:ascii="宋体" w:hAnsi="宋体" w:cs="仿宋"/>
                <w:color w:val="auto"/>
                <w:sz w:val="22"/>
                <w:szCs w:val="22"/>
                <w:highlight w:val="none"/>
              </w:rPr>
            </w:pPr>
            <w:r>
              <w:rPr>
                <w:rFonts w:hint="eastAsia" w:ascii="宋体" w:hAnsi="宋体" w:cs="仿宋"/>
                <w:color w:val="auto"/>
                <w:sz w:val="22"/>
                <w:szCs w:val="22"/>
                <w:highlight w:val="none"/>
              </w:rPr>
              <w:t>2.5接受分包的项目，享受扶持政策获得政府采购合同的，小微企业不得将合同分包给大中型企业，中型企业不得将合同分包给大型企业。</w:t>
            </w:r>
          </w:p>
          <w:p w14:paraId="5E5D1636">
            <w:pPr>
              <w:spacing w:line="360" w:lineRule="exact"/>
              <w:rPr>
                <w:rFonts w:ascii="宋体" w:hAnsi="宋体" w:cs="仿宋"/>
                <w:color w:val="auto"/>
                <w:sz w:val="22"/>
                <w:szCs w:val="22"/>
                <w:highlight w:val="none"/>
              </w:rPr>
            </w:pPr>
            <w:r>
              <w:rPr>
                <w:rFonts w:hint="eastAsia" w:ascii="宋体" w:hAnsi="宋体" w:cs="仿宋"/>
                <w:color w:val="auto"/>
                <w:sz w:val="22"/>
                <w:szCs w:val="22"/>
                <w:highlight w:val="none"/>
              </w:rPr>
              <w:t>3、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w:t>
            </w:r>
          </w:p>
          <w:p w14:paraId="21292962">
            <w:pPr>
              <w:spacing w:line="360" w:lineRule="exact"/>
              <w:rPr>
                <w:rFonts w:ascii="宋体" w:hAnsi="宋体" w:cs="仿宋"/>
                <w:color w:val="auto"/>
                <w:sz w:val="22"/>
                <w:szCs w:val="22"/>
                <w:highlight w:val="none"/>
              </w:rPr>
            </w:pPr>
            <w:r>
              <w:rPr>
                <w:rFonts w:hint="eastAsia" w:ascii="宋体" w:hAnsi="宋体" w:cs="仿宋"/>
                <w:color w:val="auto"/>
                <w:sz w:val="22"/>
                <w:szCs w:val="22"/>
                <w:highlight w:val="none"/>
              </w:rPr>
              <w:t>4、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p w14:paraId="690417E3">
            <w:pPr>
              <w:spacing w:line="360" w:lineRule="exact"/>
              <w:rPr>
                <w:rFonts w:ascii="宋体" w:hAnsi="宋体"/>
                <w:color w:val="auto"/>
                <w:sz w:val="22"/>
                <w:szCs w:val="22"/>
                <w:highlight w:val="none"/>
              </w:rPr>
            </w:pPr>
            <w:r>
              <w:rPr>
                <w:rFonts w:hint="eastAsia" w:ascii="宋体" w:hAnsi="宋体" w:cs="仿宋"/>
                <w:b/>
                <w:bCs/>
                <w:color w:val="auto"/>
                <w:sz w:val="22"/>
                <w:szCs w:val="22"/>
                <w:highlight w:val="none"/>
              </w:rPr>
              <w:t>(注：未提供以上材料的，均不给予价格扣除，以上优惠政策只享受一次）。</w:t>
            </w:r>
          </w:p>
        </w:tc>
      </w:tr>
      <w:tr w14:paraId="37AB7CCA">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701FB1F1">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26</w:t>
            </w:r>
          </w:p>
        </w:tc>
        <w:tc>
          <w:tcPr>
            <w:tcW w:w="1712" w:type="dxa"/>
            <w:tcBorders>
              <w:top w:val="single" w:color="auto" w:sz="4" w:space="0"/>
              <w:left w:val="single" w:color="auto" w:sz="4" w:space="0"/>
              <w:bottom w:val="single" w:color="auto" w:sz="4" w:space="0"/>
              <w:right w:val="single" w:color="auto" w:sz="4" w:space="0"/>
            </w:tcBorders>
            <w:vAlign w:val="center"/>
          </w:tcPr>
          <w:p w14:paraId="3FACF64D">
            <w:pPr>
              <w:spacing w:line="360" w:lineRule="exact"/>
              <w:jc w:val="center"/>
              <w:rPr>
                <w:rFonts w:ascii="宋体" w:hAnsi="宋体"/>
                <w:color w:val="auto"/>
                <w:sz w:val="22"/>
                <w:szCs w:val="22"/>
                <w:highlight w:val="none"/>
              </w:rPr>
            </w:pPr>
            <w:r>
              <w:rPr>
                <w:rFonts w:hint="eastAsia" w:ascii="宋体" w:hAnsi="宋体" w:cs="仿宋"/>
                <w:color w:val="auto"/>
                <w:sz w:val="22"/>
                <w:szCs w:val="22"/>
                <w:highlight w:val="none"/>
              </w:rPr>
              <w:t>项目属性与核心产品</w:t>
            </w:r>
          </w:p>
        </w:tc>
        <w:tc>
          <w:tcPr>
            <w:tcW w:w="7295" w:type="dxa"/>
            <w:tcBorders>
              <w:top w:val="single" w:color="auto" w:sz="4" w:space="0"/>
              <w:left w:val="single" w:color="auto" w:sz="4" w:space="0"/>
              <w:bottom w:val="single" w:color="auto" w:sz="4" w:space="0"/>
              <w:right w:val="single" w:color="auto" w:sz="4" w:space="0"/>
            </w:tcBorders>
            <w:vAlign w:val="center"/>
          </w:tcPr>
          <w:p w14:paraId="2DC4D9BB">
            <w:pPr>
              <w:spacing w:line="360" w:lineRule="exact"/>
              <w:rPr>
                <w:rFonts w:ascii="宋体" w:hAnsi="宋体" w:cs="仿宋"/>
                <w:color w:val="auto"/>
                <w:sz w:val="22"/>
                <w:szCs w:val="22"/>
                <w:highlight w:val="none"/>
              </w:rPr>
            </w:pPr>
            <w:r>
              <w:rPr>
                <w:rFonts w:hint="eastAsia" w:ascii="宋体" w:hAnsi="宋体" w:cs="宋体"/>
                <w:b/>
                <w:snapToGrid w:val="0"/>
                <w:color w:val="auto"/>
                <w:sz w:val="22"/>
                <w:szCs w:val="22"/>
                <w:highlight w:val="none"/>
              </w:rPr>
              <w:sym w:font="Wingdings" w:char="00A8"/>
            </w:r>
            <w:r>
              <w:rPr>
                <w:rFonts w:hint="eastAsia" w:ascii="宋体" w:hAnsi="宋体" w:cs="仿宋"/>
                <w:color w:val="auto"/>
                <w:sz w:val="22"/>
                <w:szCs w:val="22"/>
                <w:highlight w:val="none"/>
              </w:rPr>
              <w:t>货物类，</w:t>
            </w:r>
            <w:r>
              <w:rPr>
                <w:rFonts w:hint="eastAsia" w:ascii="宋体" w:hAnsi="宋体" w:cs="宋体"/>
                <w:b/>
                <w:snapToGrid w:val="0"/>
                <w:color w:val="auto"/>
                <w:szCs w:val="22"/>
                <w:highlight w:val="none"/>
              </w:rPr>
              <w:sym w:font="Wingdings" w:char="00A8"/>
            </w:r>
            <w:r>
              <w:rPr>
                <w:rFonts w:hint="eastAsia" w:ascii="宋体" w:hAnsi="宋体" w:cs="宋体"/>
                <w:color w:val="auto"/>
                <w:szCs w:val="22"/>
                <w:highlight w:val="none"/>
              </w:rPr>
              <w:t>单一产品或核心产品为：。</w:t>
            </w:r>
            <w:r>
              <w:rPr>
                <w:rFonts w:hint="eastAsia" w:ascii="宋体" w:hAnsi="宋体" w:cs="宋体"/>
                <w:b/>
                <w:snapToGrid w:val="0"/>
                <w:color w:val="auto"/>
                <w:szCs w:val="22"/>
                <w:highlight w:val="none"/>
              </w:rPr>
              <w:sym w:font="Wingdings" w:char="00FE"/>
            </w:r>
            <w:r>
              <w:rPr>
                <w:rFonts w:hint="eastAsia" w:ascii="宋体" w:hAnsi="宋体" w:cs="宋体"/>
                <w:color w:val="auto"/>
                <w:szCs w:val="22"/>
                <w:highlight w:val="none"/>
              </w:rPr>
              <w:t>非单一产品采购项目，采购人应当根据采购项目技术构成、产品价格比重等合理确定核心产品，并在采购文件中载明。</w:t>
            </w:r>
            <w:r>
              <w:rPr>
                <w:rFonts w:hint="eastAsia" w:ascii="宋体" w:hAnsi="宋体" w:cs="宋体"/>
                <w:color w:val="auto"/>
                <w:szCs w:val="22"/>
                <w:highlight w:val="none"/>
                <w:u w:val="single"/>
              </w:rPr>
              <w:t>本项目核心产品：</w:t>
            </w:r>
            <w:r>
              <w:rPr>
                <w:rFonts w:hint="eastAsia" w:ascii="宋体" w:hAnsi="宋体" w:cs="宋体"/>
                <w:color w:val="auto"/>
                <w:szCs w:val="22"/>
                <w:highlight w:val="none"/>
                <w:u w:val="single"/>
                <w:lang w:val="en-US" w:eastAsia="zh-CN"/>
              </w:rPr>
              <w:t>/</w:t>
            </w:r>
            <w:r>
              <w:rPr>
                <w:rFonts w:hint="eastAsia" w:ascii="宋体" w:hAnsi="宋体" w:cs="宋体"/>
                <w:color w:val="auto"/>
                <w:szCs w:val="22"/>
                <w:highlight w:val="none"/>
              </w:rPr>
              <w:t>。</w:t>
            </w:r>
          </w:p>
          <w:p w14:paraId="1F6686EE">
            <w:pPr>
              <w:spacing w:line="360" w:lineRule="exact"/>
              <w:rPr>
                <w:rFonts w:ascii="宋体" w:hAnsi="宋体" w:cs="仿宋"/>
                <w:color w:val="auto"/>
                <w:sz w:val="22"/>
                <w:szCs w:val="22"/>
                <w:highlight w:val="none"/>
              </w:rPr>
            </w:pPr>
            <w:r>
              <w:rPr>
                <w:rFonts w:hint="eastAsia" w:ascii="宋体" w:hAnsi="宋体" w:cs="仿宋"/>
                <w:color w:val="auto"/>
                <w:sz w:val="22"/>
                <w:szCs w:val="22"/>
                <w:highlight w:val="none"/>
              </w:rPr>
              <w:sym w:font="Wingdings" w:char="00FE"/>
            </w:r>
            <w:r>
              <w:rPr>
                <w:rFonts w:hint="eastAsia" w:ascii="宋体" w:hAnsi="宋体" w:cs="仿宋"/>
                <w:color w:val="auto"/>
                <w:sz w:val="22"/>
                <w:szCs w:val="22"/>
                <w:highlight w:val="none"/>
              </w:rPr>
              <w:t>服务类。</w:t>
            </w:r>
          </w:p>
          <w:p w14:paraId="09F5D825">
            <w:pPr>
              <w:spacing w:line="360" w:lineRule="exact"/>
              <w:rPr>
                <w:rFonts w:ascii="宋体" w:hAnsi="宋体"/>
                <w:color w:val="auto"/>
                <w:sz w:val="22"/>
                <w:szCs w:val="22"/>
                <w:highlight w:val="none"/>
              </w:rPr>
            </w:pPr>
            <w:r>
              <w:rPr>
                <w:rFonts w:hint="eastAsia" w:ascii="宋体" w:hAnsi="宋体" w:cs="仿宋"/>
                <w:color w:val="auto"/>
                <w:sz w:val="22"/>
                <w:szCs w:val="22"/>
                <w:highlight w:val="none"/>
              </w:rPr>
              <w:sym w:font="Wingdings" w:char="00A8"/>
            </w:r>
            <w:r>
              <w:rPr>
                <w:rFonts w:hint="eastAsia" w:ascii="宋体" w:hAnsi="宋体" w:cs="仿宋"/>
                <w:color w:val="auto"/>
                <w:sz w:val="22"/>
                <w:szCs w:val="22"/>
                <w:highlight w:val="none"/>
              </w:rPr>
              <w:t>政府采购工程类。</w:t>
            </w:r>
          </w:p>
        </w:tc>
      </w:tr>
      <w:tr w14:paraId="409E2677">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23EDF862">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27</w:t>
            </w:r>
          </w:p>
        </w:tc>
        <w:tc>
          <w:tcPr>
            <w:tcW w:w="1712" w:type="dxa"/>
            <w:tcBorders>
              <w:top w:val="single" w:color="auto" w:sz="4" w:space="0"/>
              <w:left w:val="single" w:color="auto" w:sz="4" w:space="0"/>
              <w:bottom w:val="single" w:color="auto" w:sz="4" w:space="0"/>
              <w:right w:val="single" w:color="auto" w:sz="4" w:space="0"/>
            </w:tcBorders>
            <w:vAlign w:val="center"/>
          </w:tcPr>
          <w:p w14:paraId="0D139ACD">
            <w:pPr>
              <w:spacing w:line="360" w:lineRule="exact"/>
              <w:jc w:val="center"/>
              <w:rPr>
                <w:rFonts w:hint="eastAsia" w:ascii="宋体" w:hAnsi="宋体" w:cs="宋体"/>
                <w:color w:val="auto"/>
                <w:sz w:val="22"/>
                <w:szCs w:val="22"/>
                <w:highlight w:val="none"/>
              </w:rPr>
            </w:pPr>
            <w:r>
              <w:rPr>
                <w:rFonts w:hint="eastAsia" w:ascii="宋体" w:hAnsi="宋体"/>
                <w:color w:val="auto"/>
                <w:sz w:val="22"/>
                <w:szCs w:val="22"/>
                <w:highlight w:val="none"/>
              </w:rPr>
              <w:t>视频演示</w:t>
            </w:r>
          </w:p>
        </w:tc>
        <w:tc>
          <w:tcPr>
            <w:tcW w:w="7295" w:type="dxa"/>
            <w:tcBorders>
              <w:top w:val="single" w:color="auto" w:sz="4" w:space="0"/>
              <w:left w:val="single" w:color="auto" w:sz="4" w:space="0"/>
              <w:bottom w:val="single" w:color="auto" w:sz="4" w:space="0"/>
              <w:right w:val="single" w:color="auto" w:sz="4" w:space="0"/>
            </w:tcBorders>
            <w:vAlign w:val="center"/>
          </w:tcPr>
          <w:p w14:paraId="4B96CD45">
            <w:pPr>
              <w:spacing w:line="360" w:lineRule="exact"/>
              <w:rPr>
                <w:rFonts w:ascii="宋体" w:hAnsi="宋体"/>
                <w:color w:val="auto"/>
                <w:sz w:val="22"/>
                <w:szCs w:val="22"/>
                <w:highlight w:val="none"/>
              </w:rPr>
            </w:pPr>
            <w:r>
              <w:rPr>
                <w:rFonts w:hint="eastAsia" w:ascii="宋体" w:hAnsi="宋体" w:cs="仿宋"/>
                <w:color w:val="auto"/>
                <w:sz w:val="22"/>
                <w:szCs w:val="22"/>
                <w:highlight w:val="none"/>
              </w:rPr>
              <w:sym w:font="Wingdings" w:char="00A8"/>
            </w:r>
            <w:r>
              <w:rPr>
                <w:rFonts w:ascii="宋体" w:hAnsi="宋体" w:cs="Arial"/>
                <w:color w:val="auto"/>
                <w:sz w:val="22"/>
                <w:szCs w:val="22"/>
                <w:highlight w:val="none"/>
              </w:rPr>
              <w:t>A</w:t>
            </w:r>
            <w:r>
              <w:rPr>
                <w:rFonts w:hint="eastAsia" w:ascii="宋体" w:hAnsi="宋体"/>
                <w:color w:val="auto"/>
                <w:sz w:val="22"/>
                <w:szCs w:val="22"/>
                <w:highlight w:val="none"/>
              </w:rPr>
              <w:t>不组织。</w:t>
            </w:r>
          </w:p>
          <w:p w14:paraId="4DE2BD58">
            <w:pPr>
              <w:spacing w:line="360" w:lineRule="exact"/>
              <w:rPr>
                <w:rFonts w:ascii="宋体" w:hAnsi="宋体"/>
                <w:color w:val="auto"/>
                <w:sz w:val="22"/>
                <w:szCs w:val="22"/>
                <w:highlight w:val="none"/>
              </w:rPr>
            </w:pPr>
            <w:r>
              <w:rPr>
                <w:rFonts w:hint="eastAsia" w:ascii="宋体" w:hAnsi="宋体" w:cs="仿宋"/>
                <w:color w:val="auto"/>
                <w:sz w:val="22"/>
                <w:szCs w:val="22"/>
                <w:highlight w:val="none"/>
              </w:rPr>
              <w:sym w:font="Wingdings" w:char="00FE"/>
            </w:r>
            <w:r>
              <w:rPr>
                <w:rFonts w:ascii="宋体" w:hAnsi="宋体"/>
                <w:color w:val="auto"/>
                <w:sz w:val="22"/>
                <w:szCs w:val="22"/>
                <w:highlight w:val="none"/>
              </w:rPr>
              <w:t>B组织。</w:t>
            </w:r>
          </w:p>
          <w:p w14:paraId="32048A27">
            <w:pPr>
              <w:spacing w:line="360" w:lineRule="exact"/>
              <w:rPr>
                <w:rFonts w:hint="eastAsia" w:ascii="宋体" w:hAnsi="宋体" w:cs="仿宋"/>
                <w:bCs/>
                <w:color w:val="auto"/>
                <w:sz w:val="22"/>
                <w:szCs w:val="22"/>
                <w:highlight w:val="none"/>
              </w:rPr>
            </w:pPr>
            <w:r>
              <w:rPr>
                <w:rFonts w:hint="eastAsia" w:ascii="宋体" w:hAnsi="宋体" w:cs="仿宋"/>
                <w:bCs/>
                <w:color w:val="auto"/>
                <w:sz w:val="22"/>
                <w:szCs w:val="22"/>
                <w:highlight w:val="none"/>
              </w:rPr>
              <w:t>演示方式:</w:t>
            </w:r>
          </w:p>
          <w:p w14:paraId="2CCC6D16">
            <w:pPr>
              <w:spacing w:line="360" w:lineRule="exact"/>
              <w:rPr>
                <w:rFonts w:hint="eastAsia" w:ascii="宋体" w:hAnsi="宋体" w:cs="仿宋"/>
                <w:bCs/>
                <w:color w:val="auto"/>
                <w:sz w:val="22"/>
                <w:szCs w:val="22"/>
                <w:highlight w:val="none"/>
              </w:rPr>
            </w:pPr>
            <w:r>
              <w:rPr>
                <w:rFonts w:hint="eastAsia" w:ascii="宋体" w:hAnsi="宋体" w:cs="仿宋"/>
                <w:bCs/>
                <w:color w:val="auto"/>
                <w:sz w:val="22"/>
                <w:szCs w:val="22"/>
                <w:highlight w:val="none"/>
              </w:rPr>
              <w:t>以视频播放形式讲解演示。视频需在真实系统平台上录制，视频格式以常规的媒体播放格式放入U盘并加密，演示U盘可以顺丰或EMS邮寄形式在响应文件递交截止时间前寄送至采购文件规定的开标地点（拒绝到付)，演示U盘应当密封包装并在包装上标注演示U盘、项目名称、标项、供应商名称并加盖公章，演示文件寄送地点:</w:t>
            </w:r>
            <w:r>
              <w:rPr>
                <w:rFonts w:hint="eastAsia" w:ascii="宋体" w:hAnsi="宋体" w:cs="仿宋"/>
                <w:bCs/>
                <w:color w:val="auto"/>
                <w:sz w:val="22"/>
                <w:szCs w:val="22"/>
                <w:highlight w:val="none"/>
                <w:u w:val="single"/>
              </w:rPr>
              <w:t>温州市瓯海区南塘一组团1幢（商务楼）1504室</w:t>
            </w:r>
            <w:r>
              <w:rPr>
                <w:rFonts w:hint="eastAsia" w:ascii="宋体" w:hAnsi="宋体" w:cs="仿宋"/>
                <w:bCs/>
                <w:color w:val="auto"/>
                <w:sz w:val="22"/>
                <w:szCs w:val="22"/>
                <w:highlight w:val="none"/>
              </w:rPr>
              <w:t>。或者将视频文件压缩加密后，在规定的递交响应文件截止时间前发送至指定邮箱</w:t>
            </w:r>
            <w:r>
              <w:rPr>
                <w:rFonts w:hint="eastAsia" w:ascii="宋体" w:hAnsi="宋体" w:cs="仿宋"/>
                <w:bCs/>
                <w:color w:val="auto"/>
                <w:sz w:val="22"/>
                <w:szCs w:val="22"/>
                <w:highlight w:val="none"/>
                <w:u w:val="single"/>
              </w:rPr>
              <w:t>41396739@qq.com</w:t>
            </w:r>
            <w:r>
              <w:rPr>
                <w:rFonts w:hint="eastAsia" w:ascii="宋体" w:hAnsi="宋体" w:cs="仿宋"/>
                <w:bCs/>
                <w:color w:val="auto"/>
                <w:sz w:val="22"/>
                <w:szCs w:val="22"/>
                <w:highlight w:val="none"/>
              </w:rPr>
              <w:t>。</w:t>
            </w:r>
          </w:p>
          <w:p w14:paraId="25069A87">
            <w:pPr>
              <w:spacing w:line="360" w:lineRule="exact"/>
              <w:rPr>
                <w:rFonts w:hint="eastAsia" w:ascii="宋体" w:hAnsi="宋体" w:cs="宋体"/>
                <w:color w:val="auto"/>
                <w:sz w:val="22"/>
                <w:szCs w:val="22"/>
                <w:highlight w:val="none"/>
              </w:rPr>
            </w:pPr>
            <w:r>
              <w:rPr>
                <w:rFonts w:hint="eastAsia" w:ascii="宋体" w:hAnsi="宋体" w:cs="仿宋"/>
                <w:bCs/>
                <w:color w:val="auto"/>
                <w:sz w:val="22"/>
                <w:szCs w:val="22"/>
                <w:highlight w:val="none"/>
              </w:rPr>
              <w:t>（</w:t>
            </w:r>
            <w:r>
              <w:rPr>
                <w:rFonts w:hint="eastAsia" w:ascii="宋体" w:hAnsi="宋体" w:cs="仿宋"/>
                <w:bCs/>
                <w:color w:val="auto"/>
                <w:sz w:val="22"/>
                <w:szCs w:val="22"/>
                <w:highlight w:val="none"/>
                <w:lang w:val="en-US" w:eastAsia="zh-CN"/>
              </w:rPr>
              <w:t>3</w:t>
            </w:r>
            <w:r>
              <w:rPr>
                <w:rFonts w:hint="eastAsia" w:ascii="宋体" w:hAnsi="宋体" w:cs="仿宋"/>
                <w:bCs/>
                <w:color w:val="auto"/>
                <w:sz w:val="22"/>
                <w:szCs w:val="22"/>
                <w:highlight w:val="none"/>
              </w:rPr>
              <w:t>）演示内根据评分标准要求演示。</w:t>
            </w:r>
          </w:p>
        </w:tc>
      </w:tr>
      <w:tr w14:paraId="6A9C32AF">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7C5EF0F9">
            <w:pPr>
              <w:spacing w:line="3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8</w:t>
            </w:r>
          </w:p>
        </w:tc>
        <w:tc>
          <w:tcPr>
            <w:tcW w:w="1712" w:type="dxa"/>
            <w:tcBorders>
              <w:top w:val="single" w:color="auto" w:sz="4" w:space="0"/>
              <w:left w:val="single" w:color="auto" w:sz="4" w:space="0"/>
              <w:bottom w:val="single" w:color="auto" w:sz="4" w:space="0"/>
              <w:right w:val="single" w:color="auto" w:sz="4" w:space="0"/>
            </w:tcBorders>
            <w:vAlign w:val="center"/>
          </w:tcPr>
          <w:p w14:paraId="0D294FFB">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政府采购信用融资</w:t>
            </w:r>
          </w:p>
        </w:tc>
        <w:tc>
          <w:tcPr>
            <w:tcW w:w="7295" w:type="dxa"/>
            <w:tcBorders>
              <w:top w:val="single" w:color="auto" w:sz="4" w:space="0"/>
              <w:left w:val="single" w:color="auto" w:sz="4" w:space="0"/>
              <w:bottom w:val="single" w:color="auto" w:sz="4" w:space="0"/>
              <w:right w:val="single" w:color="auto" w:sz="4" w:space="0"/>
            </w:tcBorders>
            <w:vAlign w:val="center"/>
          </w:tcPr>
          <w:p w14:paraId="6B0E4A17">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33FA4AF3">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142F095D">
            <w:pPr>
              <w:spacing w:line="36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29</w:t>
            </w:r>
          </w:p>
        </w:tc>
        <w:tc>
          <w:tcPr>
            <w:tcW w:w="1712" w:type="dxa"/>
            <w:tcBorders>
              <w:top w:val="single" w:color="auto" w:sz="4" w:space="0"/>
              <w:left w:val="single" w:color="auto" w:sz="4" w:space="0"/>
              <w:bottom w:val="single" w:color="auto" w:sz="4" w:space="0"/>
              <w:right w:val="single" w:color="auto" w:sz="4" w:space="0"/>
            </w:tcBorders>
            <w:vAlign w:val="center"/>
          </w:tcPr>
          <w:p w14:paraId="5FB6F774">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采购代理服务费</w:t>
            </w:r>
          </w:p>
        </w:tc>
        <w:tc>
          <w:tcPr>
            <w:tcW w:w="7295" w:type="dxa"/>
            <w:tcBorders>
              <w:top w:val="single" w:color="auto" w:sz="4" w:space="0"/>
              <w:left w:val="single" w:color="auto" w:sz="4" w:space="0"/>
              <w:bottom w:val="single" w:color="auto" w:sz="4" w:space="0"/>
              <w:right w:val="single" w:color="auto" w:sz="4" w:space="0"/>
            </w:tcBorders>
            <w:vAlign w:val="center"/>
          </w:tcPr>
          <w:p w14:paraId="21492C79">
            <w:pPr>
              <w:spacing w:line="360" w:lineRule="exact"/>
              <w:rPr>
                <w:rFonts w:ascii="宋体" w:hAnsi="宋体" w:cs="宋体"/>
                <w:color w:val="auto"/>
                <w:sz w:val="22"/>
                <w:szCs w:val="22"/>
                <w:highlight w:val="none"/>
              </w:rPr>
            </w:pPr>
            <w:r>
              <w:rPr>
                <w:rFonts w:ascii="宋体" w:hAnsi="宋体" w:cs="宋体"/>
                <w:color w:val="auto"/>
                <w:sz w:val="22"/>
                <w:szCs w:val="22"/>
                <w:highlight w:val="none"/>
              </w:rPr>
              <w:t>1</w:t>
            </w:r>
            <w:r>
              <w:rPr>
                <w:rFonts w:hint="eastAsia" w:ascii="宋体" w:hAnsi="宋体" w:cs="宋体"/>
                <w:color w:val="auto"/>
                <w:sz w:val="22"/>
                <w:szCs w:val="22"/>
                <w:highlight w:val="none"/>
              </w:rPr>
              <w:t>、</w:t>
            </w:r>
            <w:r>
              <w:rPr>
                <w:rFonts w:hint="eastAsia" w:ascii="宋体" w:hAnsi="宋体" w:cs="宋体"/>
                <w:b/>
                <w:color w:val="auto"/>
                <w:sz w:val="22"/>
                <w:szCs w:val="22"/>
                <w:highlight w:val="none"/>
              </w:rPr>
              <w:t>▲</w:t>
            </w:r>
            <w:r>
              <w:rPr>
                <w:rFonts w:hint="eastAsia" w:ascii="宋体" w:hAnsi="宋体" w:cs="宋体"/>
                <w:bCs/>
                <w:color w:val="auto"/>
                <w:sz w:val="22"/>
                <w:szCs w:val="22"/>
                <w:highlight w:val="none"/>
                <w:u w:val="single"/>
              </w:rPr>
              <w:t>采购代理服务费系根据国家计委印发的《招标代理服务收费管理暂行办法》计价格【2002】1980号文（</w:t>
            </w:r>
            <w:r>
              <w:rPr>
                <w:rFonts w:hint="eastAsia" w:ascii="宋体" w:hAnsi="宋体" w:cs="宋体"/>
                <w:bCs/>
                <w:color w:val="auto"/>
                <w:sz w:val="22"/>
                <w:szCs w:val="22"/>
                <w:highlight w:val="none"/>
                <w:u w:val="single"/>
                <w:lang w:val="en-US" w:eastAsia="zh-CN"/>
              </w:rPr>
              <w:t>服务</w:t>
            </w:r>
            <w:r>
              <w:rPr>
                <w:rFonts w:hint="eastAsia" w:ascii="宋体" w:hAnsi="宋体" w:cs="宋体"/>
                <w:bCs/>
                <w:color w:val="auto"/>
                <w:sz w:val="22"/>
                <w:szCs w:val="22"/>
                <w:highlight w:val="none"/>
                <w:u w:val="single"/>
              </w:rPr>
              <w:t>类）的规定按标准计算后下浮30%收取</w:t>
            </w:r>
            <w:r>
              <w:rPr>
                <w:rFonts w:hint="eastAsia" w:ascii="宋体" w:hAnsi="宋体" w:cs="宋体"/>
                <w:color w:val="auto"/>
                <w:sz w:val="22"/>
                <w:szCs w:val="22"/>
                <w:highlight w:val="none"/>
                <w:u w:val="single"/>
              </w:rPr>
              <w:t>，由中标人在领取中标通知书时支付，采购代理服务费包含在投标总价中</w:t>
            </w:r>
            <w:r>
              <w:rPr>
                <w:rFonts w:hint="eastAsia" w:ascii="宋体" w:hAnsi="宋体" w:cs="宋体"/>
                <w:color w:val="auto"/>
                <w:sz w:val="22"/>
                <w:szCs w:val="22"/>
                <w:highlight w:val="none"/>
              </w:rPr>
              <w:t>。</w:t>
            </w:r>
          </w:p>
          <w:p w14:paraId="0199E44C">
            <w:pPr>
              <w:spacing w:line="360" w:lineRule="exact"/>
              <w:rPr>
                <w:rFonts w:ascii="宋体" w:hAnsi="宋体" w:cs="宋体"/>
                <w:color w:val="auto"/>
                <w:spacing w:val="6"/>
                <w:sz w:val="22"/>
                <w:szCs w:val="22"/>
                <w:highlight w:val="none"/>
              </w:rPr>
            </w:pPr>
            <w:r>
              <w:rPr>
                <w:rFonts w:ascii="宋体" w:hAnsi="宋体" w:cs="宋体"/>
                <w:color w:val="auto"/>
                <w:sz w:val="22"/>
                <w:szCs w:val="22"/>
                <w:highlight w:val="none"/>
              </w:rPr>
              <w:t>2</w:t>
            </w:r>
            <w:r>
              <w:rPr>
                <w:rFonts w:hint="eastAsia" w:ascii="宋体" w:hAnsi="宋体" w:cs="宋体"/>
                <w:color w:val="auto"/>
                <w:sz w:val="22"/>
                <w:szCs w:val="22"/>
                <w:highlight w:val="none"/>
              </w:rPr>
              <w:t>、采购代理服务费可以是现金、支票或汇票。</w:t>
            </w:r>
          </w:p>
          <w:p w14:paraId="18B6C25B">
            <w:pPr>
              <w:spacing w:line="360" w:lineRule="exact"/>
              <w:rPr>
                <w:rFonts w:ascii="宋体" w:hAnsi="宋体" w:cs="宋体"/>
                <w:color w:val="auto"/>
                <w:sz w:val="22"/>
                <w:szCs w:val="22"/>
                <w:highlight w:val="none"/>
              </w:rPr>
            </w:pPr>
            <w:r>
              <w:rPr>
                <w:rFonts w:ascii="宋体" w:hAnsi="宋体" w:cs="宋体"/>
                <w:color w:val="auto"/>
                <w:sz w:val="22"/>
                <w:szCs w:val="22"/>
                <w:highlight w:val="none"/>
              </w:rPr>
              <w:t>3</w:t>
            </w:r>
            <w:r>
              <w:rPr>
                <w:rFonts w:hint="eastAsia" w:ascii="宋体" w:hAnsi="宋体" w:cs="宋体"/>
                <w:color w:val="auto"/>
                <w:sz w:val="22"/>
                <w:szCs w:val="22"/>
                <w:highlight w:val="none"/>
              </w:rPr>
              <w:t>、采购代理服务费汇入账户：</w:t>
            </w:r>
          </w:p>
          <w:p w14:paraId="5D704C8D">
            <w:pPr>
              <w:spacing w:line="3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户  名：温州正风招标代理有限公司</w:t>
            </w:r>
          </w:p>
          <w:p w14:paraId="5C8B6EFD">
            <w:pPr>
              <w:spacing w:line="3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账  号：769000120190010526</w:t>
            </w:r>
          </w:p>
          <w:p w14:paraId="22AD91FA">
            <w:pPr>
              <w:spacing w:line="3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开户行：温州银行江滨支行</w:t>
            </w:r>
          </w:p>
          <w:p w14:paraId="0BB26B27">
            <w:pPr>
              <w:spacing w:line="360" w:lineRule="exact"/>
              <w:rPr>
                <w:rFonts w:ascii="宋体" w:hAnsi="宋体" w:cs="宋体"/>
                <w:color w:val="auto"/>
                <w:sz w:val="22"/>
                <w:szCs w:val="22"/>
                <w:highlight w:val="none"/>
              </w:rPr>
            </w:pPr>
            <w:r>
              <w:rPr>
                <w:rFonts w:ascii="宋体" w:hAnsi="宋体" w:cs="宋体"/>
                <w:color w:val="auto"/>
                <w:sz w:val="22"/>
                <w:highlight w:val="none"/>
              </w:rPr>
              <w:t>4</w:t>
            </w:r>
            <w:r>
              <w:rPr>
                <w:rFonts w:hint="eastAsia" w:ascii="宋体" w:hAnsi="宋体" w:cs="宋体"/>
                <w:color w:val="auto"/>
                <w:sz w:val="22"/>
                <w:highlight w:val="none"/>
              </w:rPr>
              <w:t>、关于采购代理服务费的详细事宜请咨询采购代理机构财务部周先生（0577-88119278）。</w:t>
            </w:r>
          </w:p>
        </w:tc>
      </w:tr>
      <w:tr w14:paraId="19218912">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5E5316C1">
            <w:pPr>
              <w:spacing w:line="36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30</w:t>
            </w:r>
          </w:p>
        </w:tc>
        <w:tc>
          <w:tcPr>
            <w:tcW w:w="1712" w:type="dxa"/>
            <w:tcBorders>
              <w:top w:val="single" w:color="auto" w:sz="4" w:space="0"/>
              <w:left w:val="single" w:color="auto" w:sz="4" w:space="0"/>
              <w:bottom w:val="single" w:color="auto" w:sz="4" w:space="0"/>
              <w:right w:val="single" w:color="auto" w:sz="4" w:space="0"/>
            </w:tcBorders>
            <w:vAlign w:val="center"/>
          </w:tcPr>
          <w:p w14:paraId="1E83705D">
            <w:pPr>
              <w:spacing w:line="360" w:lineRule="exact"/>
              <w:jc w:val="center"/>
              <w:rPr>
                <w:rFonts w:ascii="宋体" w:hAnsi="宋体" w:cs="宋体"/>
                <w:color w:val="auto"/>
                <w:sz w:val="22"/>
                <w:szCs w:val="22"/>
                <w:highlight w:val="none"/>
              </w:rPr>
            </w:pPr>
            <w:r>
              <w:rPr>
                <w:rFonts w:hint="eastAsia" w:ascii="宋体" w:hAnsi="宋体" w:cs="宋体"/>
                <w:color w:val="auto"/>
                <w:sz w:val="22"/>
                <w:highlight w:val="none"/>
              </w:rPr>
              <w:t>支持创新发展</w:t>
            </w:r>
          </w:p>
        </w:tc>
        <w:tc>
          <w:tcPr>
            <w:tcW w:w="7295" w:type="dxa"/>
            <w:tcBorders>
              <w:top w:val="single" w:color="auto" w:sz="4" w:space="0"/>
              <w:left w:val="single" w:color="auto" w:sz="4" w:space="0"/>
              <w:bottom w:val="single" w:color="auto" w:sz="4" w:space="0"/>
              <w:right w:val="single" w:color="auto" w:sz="4" w:space="0"/>
            </w:tcBorders>
            <w:vAlign w:val="center"/>
          </w:tcPr>
          <w:p w14:paraId="5FC954A6">
            <w:pPr>
              <w:spacing w:line="360" w:lineRule="exact"/>
              <w:rPr>
                <w:rFonts w:ascii="宋体" w:hAnsi="宋体" w:cs="宋体"/>
                <w:color w:val="auto"/>
                <w:sz w:val="22"/>
                <w:szCs w:val="22"/>
                <w:highlight w:val="none"/>
              </w:rPr>
            </w:pPr>
            <w:r>
              <w:rPr>
                <w:rFonts w:hint="eastAsia" w:ascii="宋体" w:hAnsi="宋体" w:cs="宋体"/>
                <w:color w:val="auto"/>
                <w:sz w:val="22"/>
                <w:highlight w:val="none"/>
              </w:rPr>
              <w:t>根据浙财采监〔2022〕8号文相关的规定，对省级以上主管部门认定的首台套产品，自纳入《省推广应用指导目录》起三年内参加政府采购活动，视同已具备相应销售业绩，业绩分为满分。</w:t>
            </w:r>
          </w:p>
        </w:tc>
      </w:tr>
      <w:tr w14:paraId="51FC1C2A">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122A30C9">
            <w:pPr>
              <w:spacing w:line="3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val="en-US" w:eastAsia="zh-CN"/>
              </w:rPr>
              <w:t>1</w:t>
            </w:r>
          </w:p>
        </w:tc>
        <w:tc>
          <w:tcPr>
            <w:tcW w:w="1712" w:type="dxa"/>
            <w:tcBorders>
              <w:top w:val="single" w:color="auto" w:sz="4" w:space="0"/>
              <w:left w:val="single" w:color="auto" w:sz="4" w:space="0"/>
              <w:bottom w:val="single" w:color="auto" w:sz="4" w:space="0"/>
              <w:right w:val="single" w:color="auto" w:sz="4" w:space="0"/>
            </w:tcBorders>
            <w:vAlign w:val="center"/>
          </w:tcPr>
          <w:p w14:paraId="1DD6103A">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其他</w:t>
            </w:r>
          </w:p>
        </w:tc>
        <w:tc>
          <w:tcPr>
            <w:tcW w:w="7295" w:type="dxa"/>
            <w:tcBorders>
              <w:top w:val="single" w:color="auto" w:sz="4" w:space="0"/>
              <w:left w:val="single" w:color="auto" w:sz="4" w:space="0"/>
              <w:bottom w:val="single" w:color="auto" w:sz="4" w:space="0"/>
              <w:right w:val="single" w:color="auto" w:sz="4" w:space="0"/>
            </w:tcBorders>
            <w:vAlign w:val="center"/>
          </w:tcPr>
          <w:p w14:paraId="78D416ED">
            <w:pPr>
              <w:spacing w:line="360" w:lineRule="exact"/>
              <w:rPr>
                <w:rFonts w:ascii="宋体" w:hAnsi="宋体" w:cs="宋体"/>
                <w:color w:val="auto"/>
                <w:sz w:val="22"/>
                <w:highlight w:val="none"/>
              </w:rPr>
            </w:pPr>
          </w:p>
        </w:tc>
      </w:tr>
    </w:tbl>
    <w:p w14:paraId="2E289366">
      <w:pPr>
        <w:pStyle w:val="3"/>
        <w:spacing w:line="680" w:lineRule="exact"/>
        <w:jc w:val="center"/>
        <w:rPr>
          <w:rFonts w:ascii="宋体" w:hAnsi="宋体" w:eastAsia="宋体" w:cs="宋体"/>
          <w:color w:val="auto"/>
          <w:sz w:val="28"/>
          <w:szCs w:val="28"/>
          <w:highlight w:val="none"/>
        </w:rPr>
      </w:pPr>
      <w:bookmarkStart w:id="28" w:name="_Toc31820"/>
      <w:r>
        <w:rPr>
          <w:rFonts w:hint="eastAsia" w:ascii="宋体" w:hAnsi="宋体" w:eastAsia="宋体" w:cs="宋体"/>
          <w:color w:val="auto"/>
          <w:sz w:val="28"/>
          <w:szCs w:val="28"/>
          <w:highlight w:val="none"/>
        </w:rPr>
        <w:t>一、 说   明</w:t>
      </w:r>
      <w:bookmarkEnd w:id="28"/>
    </w:p>
    <w:p w14:paraId="64BE06C3">
      <w:pPr>
        <w:tabs>
          <w:tab w:val="left" w:pos="360"/>
        </w:tabs>
        <w:spacing w:line="440" w:lineRule="exact"/>
        <w:ind w:left="550" w:hanging="550" w:hangingChars="250"/>
        <w:rPr>
          <w:rFonts w:ascii="宋体" w:hAnsi="宋体" w:cs="宋体"/>
          <w:color w:val="auto"/>
          <w:sz w:val="22"/>
          <w:szCs w:val="22"/>
          <w:highlight w:val="none"/>
        </w:rPr>
      </w:pPr>
      <w:bookmarkStart w:id="29" w:name="_Toc230773776"/>
      <w:r>
        <w:rPr>
          <w:rFonts w:hint="eastAsia" w:ascii="宋体" w:hAnsi="宋体" w:cs="宋体"/>
          <w:color w:val="auto"/>
          <w:sz w:val="22"/>
          <w:szCs w:val="22"/>
          <w:highlight w:val="none"/>
        </w:rPr>
        <w:t>1.   本次招标是根据《中华人民共和国政府采购法》、《中华人民共和国政府采购法实施条例》、《政府采购货物和服务招标投标管理办法》（财政部第87号令）、《浙江省政府采购项目电子交易管理暂行办法》（浙财采监〔2019〕10号）及浙江省市等有关政府采购的规范性文件组织和实施。</w:t>
      </w:r>
    </w:p>
    <w:p w14:paraId="7348F7B0">
      <w:pPr>
        <w:tabs>
          <w:tab w:val="left" w:pos="360"/>
        </w:tabs>
        <w:spacing w:line="440" w:lineRule="exact"/>
        <w:ind w:left="550" w:hanging="550" w:hangingChars="250"/>
        <w:rPr>
          <w:rFonts w:ascii="宋体" w:hAnsi="宋体" w:cs="宋体"/>
          <w:color w:val="auto"/>
          <w:sz w:val="22"/>
          <w:szCs w:val="22"/>
          <w:highlight w:val="none"/>
        </w:rPr>
      </w:pPr>
      <w:bookmarkStart w:id="30" w:name="_Toc3235"/>
      <w:bookmarkStart w:id="31" w:name="_Toc31546"/>
      <w:bookmarkStart w:id="32" w:name="_Toc19066"/>
      <w:r>
        <w:rPr>
          <w:rFonts w:ascii="宋体" w:hAnsi="宋体" w:cs="宋体"/>
          <w:color w:val="auto"/>
          <w:sz w:val="22"/>
          <w:szCs w:val="22"/>
          <w:highlight w:val="none"/>
        </w:rPr>
        <w:t xml:space="preserve">2.   </w:t>
      </w:r>
      <w:r>
        <w:rPr>
          <w:rFonts w:hint="eastAsia" w:ascii="宋体" w:hAnsi="宋体" w:cs="宋体"/>
          <w:color w:val="auto"/>
          <w:sz w:val="22"/>
          <w:szCs w:val="22"/>
          <w:highlight w:val="none"/>
        </w:rPr>
        <w:t>定义</w:t>
      </w:r>
      <w:bookmarkEnd w:id="30"/>
      <w:bookmarkEnd w:id="31"/>
      <w:bookmarkEnd w:id="32"/>
    </w:p>
    <w:p w14:paraId="64B9906D">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2.1 “采购人”系指招标公告中载明的本项目的采购人。</w:t>
      </w:r>
    </w:p>
    <w:p w14:paraId="0B244CA7">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2.2 “采购代理机构”系指招标公告中载明的本项目的采购代理机构。</w:t>
      </w:r>
    </w:p>
    <w:p w14:paraId="60559E4F">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2.3 “投标人、供应商”均系指响应招标、参加投标竞争的法人、其他组织或者自然人。</w:t>
      </w:r>
    </w:p>
    <w:p w14:paraId="420E88A9">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2.4 “负责人”系指法人企业的法定负责人，或其他组织为法律、行政法规规定代表单位行使职权的主要负责人，或自然人本人。</w:t>
      </w:r>
    </w:p>
    <w:p w14:paraId="766C094A">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2.5“电子签名”系指数据电文中以电子形式所含、所附用于识别签名人身份并表明签名人认可其中内容的数据；“公章”系指单位法定名称章。</w:t>
      </w:r>
    </w:p>
    <w:p w14:paraId="5A995DDB">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2.6“电子交易平台”是指本项目政府采购活动所依托的政府采购云平台（https://www.zcygov.cn/）。</w:t>
      </w:r>
    </w:p>
    <w:p w14:paraId="7C3A4685">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2.7 “▲”</w:t>
      </w:r>
      <w:r>
        <w:rPr>
          <w:rFonts w:hint="eastAsia" w:ascii="宋体" w:hAnsi="宋体" w:cs="仿宋"/>
          <w:snapToGrid w:val="0"/>
          <w:color w:val="auto"/>
          <w:kern w:val="28"/>
          <w:sz w:val="22"/>
          <w:szCs w:val="22"/>
          <w:highlight w:val="none"/>
        </w:rPr>
        <w:t>且加下划线的条款</w:t>
      </w:r>
      <w:r>
        <w:rPr>
          <w:rFonts w:hint="eastAsia" w:ascii="宋体" w:hAnsi="宋体" w:cs="仿宋"/>
          <w:color w:val="auto"/>
          <w:sz w:val="22"/>
          <w:szCs w:val="22"/>
          <w:highlight w:val="none"/>
        </w:rPr>
        <w:t>系指实质性要求条款， “</w:t>
      </w:r>
      <w:r>
        <w:rPr>
          <w:rFonts w:hint="eastAsia" w:ascii="宋体" w:hAnsi="宋体" w:cs="仿宋"/>
          <w:color w:val="auto"/>
          <w:sz w:val="22"/>
          <w:szCs w:val="22"/>
          <w:highlight w:val="none"/>
        </w:rPr>
        <w:sym w:font="Wingdings" w:char="00FE"/>
      </w:r>
      <w:r>
        <w:rPr>
          <w:rFonts w:hint="eastAsia" w:ascii="宋体" w:hAnsi="宋体" w:cs="仿宋"/>
          <w:color w:val="auto"/>
          <w:sz w:val="22"/>
          <w:szCs w:val="22"/>
          <w:highlight w:val="none"/>
        </w:rPr>
        <w:t>” 系指适用本项目的要求，“</w:t>
      </w:r>
      <w:r>
        <w:rPr>
          <w:rFonts w:hint="eastAsia" w:ascii="宋体" w:hAnsi="宋体" w:cs="仿宋"/>
          <w:color w:val="auto"/>
          <w:sz w:val="22"/>
          <w:szCs w:val="22"/>
          <w:highlight w:val="none"/>
        </w:rPr>
        <w:sym w:font="Wingdings" w:char="00A8"/>
      </w:r>
      <w:r>
        <w:rPr>
          <w:rFonts w:hint="eastAsia" w:ascii="宋体" w:hAnsi="宋体" w:cs="仿宋"/>
          <w:color w:val="auto"/>
          <w:sz w:val="22"/>
          <w:szCs w:val="22"/>
          <w:highlight w:val="none"/>
        </w:rPr>
        <w:t>” 系指不适用本项目的要求。</w:t>
      </w:r>
    </w:p>
    <w:p w14:paraId="5258147D">
      <w:pPr>
        <w:spacing w:line="440" w:lineRule="exact"/>
        <w:rPr>
          <w:rFonts w:ascii="宋体" w:hAnsi="宋体" w:cs="仿宋"/>
          <w:b/>
          <w:color w:val="auto"/>
          <w:sz w:val="22"/>
          <w:szCs w:val="22"/>
          <w:highlight w:val="none"/>
        </w:rPr>
      </w:pPr>
      <w:r>
        <w:rPr>
          <w:rFonts w:ascii="宋体" w:hAnsi="宋体" w:cs="仿宋"/>
          <w:b/>
          <w:color w:val="auto"/>
          <w:sz w:val="22"/>
          <w:szCs w:val="22"/>
          <w:highlight w:val="none"/>
        </w:rPr>
        <w:t xml:space="preserve">3.  </w:t>
      </w:r>
      <w:r>
        <w:rPr>
          <w:rFonts w:hint="eastAsia" w:ascii="宋体" w:hAnsi="宋体" w:cs="仿宋"/>
          <w:b/>
          <w:color w:val="auto"/>
          <w:sz w:val="22"/>
          <w:szCs w:val="22"/>
          <w:highlight w:val="none"/>
        </w:rPr>
        <w:t>合格投标人要求</w:t>
      </w:r>
    </w:p>
    <w:p w14:paraId="2ECE63BF">
      <w:pPr>
        <w:tabs>
          <w:tab w:val="left" w:pos="540"/>
          <w:tab w:val="left" w:pos="900"/>
        </w:tabs>
        <w:snapToGrid w:val="0"/>
        <w:spacing w:line="440" w:lineRule="exact"/>
        <w:ind w:firstLine="440" w:firstLineChars="200"/>
        <w:rPr>
          <w:rFonts w:ascii="宋体" w:hAnsi="宋体" w:cs="仿宋"/>
          <w:bCs/>
          <w:color w:val="auto"/>
          <w:sz w:val="22"/>
          <w:szCs w:val="22"/>
          <w:highlight w:val="none"/>
        </w:rPr>
      </w:pPr>
      <w:r>
        <w:rPr>
          <w:rFonts w:hint="eastAsia" w:ascii="宋体" w:hAnsi="宋体" w:cs="仿宋"/>
          <w:bCs/>
          <w:color w:val="auto"/>
          <w:sz w:val="22"/>
          <w:szCs w:val="22"/>
          <w:highlight w:val="none"/>
        </w:rPr>
        <w:t>3.1合格的投标人应满足招标文件第一部分“招标公告”对申请人的资格要求。</w:t>
      </w:r>
    </w:p>
    <w:p w14:paraId="13673590">
      <w:pPr>
        <w:tabs>
          <w:tab w:val="left" w:pos="540"/>
          <w:tab w:val="left" w:pos="900"/>
        </w:tabs>
        <w:snapToGrid w:val="0"/>
        <w:spacing w:line="440" w:lineRule="exact"/>
        <w:ind w:firstLine="440" w:firstLineChars="200"/>
        <w:rPr>
          <w:rFonts w:ascii="宋体" w:hAnsi="宋体" w:cs="仿宋"/>
          <w:bCs/>
          <w:color w:val="auto"/>
          <w:sz w:val="22"/>
          <w:szCs w:val="22"/>
          <w:highlight w:val="none"/>
        </w:rPr>
      </w:pPr>
      <w:r>
        <w:rPr>
          <w:rFonts w:hint="eastAsia" w:ascii="宋体" w:hAnsi="宋体" w:cs="仿宋"/>
          <w:bCs/>
          <w:color w:val="auto"/>
          <w:sz w:val="22"/>
          <w:szCs w:val="22"/>
          <w:highlight w:val="none"/>
        </w:rPr>
        <w:t>3.2</w:t>
      </w:r>
      <w:r>
        <w:rPr>
          <w:rFonts w:hint="eastAsia" w:ascii="宋体" w:hAnsi="宋体" w:cs="仿宋"/>
          <w:b/>
          <w:color w:val="auto"/>
          <w:sz w:val="22"/>
          <w:szCs w:val="22"/>
          <w:highlight w:val="non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04A4892C">
      <w:pPr>
        <w:tabs>
          <w:tab w:val="left" w:pos="540"/>
          <w:tab w:val="left" w:pos="900"/>
        </w:tabs>
        <w:snapToGrid w:val="0"/>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3.3投标人可授权投标人代表以投标人名义参加本次采购的投标活动（包括投标文件的签署、澄清、说明、补正、递交、撤回、修改等以及签订合同和处理有关事宜）。如果投标人代表不是法定代表人(负责人)，须持有《法定代表人(负责人)授权书》。</w:t>
      </w:r>
    </w:p>
    <w:p w14:paraId="14557021">
      <w:pPr>
        <w:snapToGrid w:val="0"/>
        <w:spacing w:line="440" w:lineRule="exact"/>
        <w:ind w:firstLine="464" w:firstLineChars="200"/>
        <w:rPr>
          <w:rFonts w:ascii="宋体" w:hAnsi="宋体" w:cs="仿宋"/>
          <w:bCs/>
          <w:color w:val="auto"/>
          <w:spacing w:val="6"/>
          <w:sz w:val="22"/>
          <w:szCs w:val="22"/>
          <w:highlight w:val="none"/>
        </w:rPr>
      </w:pPr>
      <w:r>
        <w:rPr>
          <w:rFonts w:hint="eastAsia" w:ascii="宋体" w:hAnsi="宋体" w:cs="仿宋"/>
          <w:bCs/>
          <w:color w:val="auto"/>
          <w:spacing w:val="6"/>
          <w:sz w:val="22"/>
          <w:szCs w:val="22"/>
          <w:highlight w:val="none"/>
        </w:rPr>
        <w:t>3.4采用最低评标价法的</w:t>
      </w:r>
      <w:r>
        <w:rPr>
          <w:rFonts w:hint="eastAsia" w:ascii="宋体" w:hAnsi="宋体" w:cs="仿宋"/>
          <w:color w:val="auto"/>
          <w:sz w:val="22"/>
          <w:szCs w:val="22"/>
          <w:highlight w:val="none"/>
        </w:rPr>
        <w:t>货物类</w:t>
      </w:r>
      <w:r>
        <w:rPr>
          <w:rFonts w:hint="eastAsia" w:ascii="宋体" w:hAnsi="宋体" w:cs="仿宋"/>
          <w:bCs/>
          <w:color w:val="auto"/>
          <w:spacing w:val="6"/>
          <w:sz w:val="22"/>
          <w:szCs w:val="22"/>
          <w:highlight w:val="none"/>
        </w:rPr>
        <w:t>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3FBBA52">
      <w:pPr>
        <w:snapToGrid w:val="0"/>
        <w:spacing w:line="440" w:lineRule="exact"/>
        <w:ind w:firstLine="464" w:firstLineChars="200"/>
        <w:rPr>
          <w:rFonts w:ascii="宋体" w:hAnsi="宋体" w:cs="仿宋"/>
          <w:bCs/>
          <w:color w:val="auto"/>
          <w:spacing w:val="6"/>
          <w:sz w:val="22"/>
          <w:szCs w:val="22"/>
          <w:highlight w:val="none"/>
        </w:rPr>
      </w:pPr>
      <w:r>
        <w:rPr>
          <w:rFonts w:hint="eastAsia" w:ascii="宋体" w:hAnsi="宋体" w:cs="仿宋"/>
          <w:bCs/>
          <w:color w:val="auto"/>
          <w:spacing w:val="6"/>
          <w:sz w:val="22"/>
          <w:szCs w:val="22"/>
          <w:highlight w:val="none"/>
        </w:rPr>
        <w:t>使用综合评分法的</w:t>
      </w:r>
      <w:r>
        <w:rPr>
          <w:rFonts w:hint="eastAsia" w:ascii="宋体" w:hAnsi="宋体" w:cs="仿宋"/>
          <w:color w:val="auto"/>
          <w:sz w:val="22"/>
          <w:szCs w:val="22"/>
          <w:highlight w:val="none"/>
        </w:rPr>
        <w:t>货物类</w:t>
      </w:r>
      <w:r>
        <w:rPr>
          <w:rFonts w:hint="eastAsia" w:ascii="宋体" w:hAnsi="宋体" w:cs="仿宋"/>
          <w:bCs/>
          <w:color w:val="auto"/>
          <w:spacing w:val="6"/>
          <w:sz w:val="22"/>
          <w:szCs w:val="22"/>
          <w:highlight w:val="none"/>
        </w:rPr>
        <w:t>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43F28C1">
      <w:pPr>
        <w:snapToGrid w:val="0"/>
        <w:spacing w:line="440" w:lineRule="exact"/>
        <w:ind w:firstLine="464" w:firstLineChars="200"/>
        <w:rPr>
          <w:rFonts w:ascii="宋体" w:hAnsi="宋体" w:cs="仿宋"/>
          <w:bCs/>
          <w:color w:val="auto"/>
          <w:spacing w:val="6"/>
          <w:sz w:val="22"/>
          <w:szCs w:val="22"/>
          <w:highlight w:val="none"/>
        </w:rPr>
      </w:pPr>
      <w:r>
        <w:rPr>
          <w:rFonts w:hint="eastAsia" w:ascii="宋体" w:hAnsi="宋体" w:cs="仿宋"/>
          <w:bCs/>
          <w:color w:val="auto"/>
          <w:spacing w:val="6"/>
          <w:sz w:val="22"/>
          <w:szCs w:val="22"/>
          <w:highlight w:val="none"/>
        </w:rPr>
        <w:t>非单一产品采购项目，多家投标人提供的核心产品（见</w:t>
      </w:r>
      <w:r>
        <w:rPr>
          <w:rFonts w:hint="eastAsia" w:ascii="宋体" w:hAnsi="宋体" w:cs="仿宋"/>
          <w:color w:val="auto"/>
          <w:sz w:val="22"/>
          <w:szCs w:val="22"/>
          <w:highlight w:val="none"/>
        </w:rPr>
        <w:t>投标人须知前附表</w:t>
      </w:r>
      <w:r>
        <w:rPr>
          <w:rFonts w:hint="eastAsia" w:ascii="宋体" w:hAnsi="宋体" w:cs="仿宋"/>
          <w:bCs/>
          <w:color w:val="auto"/>
          <w:spacing w:val="6"/>
          <w:sz w:val="22"/>
          <w:szCs w:val="22"/>
          <w:highlight w:val="none"/>
        </w:rPr>
        <w:t>）品牌相同的，按前两款规定处理。</w:t>
      </w:r>
    </w:p>
    <w:p w14:paraId="7372837A">
      <w:pPr>
        <w:snapToGrid w:val="0"/>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3.5货物类是否允许采购进口产品、是否要求节能/环境标志产品等情况见投标人须知前附表。</w:t>
      </w:r>
    </w:p>
    <w:p w14:paraId="52D2C3E1">
      <w:pPr>
        <w:spacing w:line="440" w:lineRule="exact"/>
        <w:rPr>
          <w:rFonts w:ascii="宋体" w:hAnsi="宋体" w:cs="仿宋"/>
          <w:b/>
          <w:color w:val="auto"/>
          <w:sz w:val="22"/>
          <w:szCs w:val="22"/>
          <w:highlight w:val="none"/>
        </w:rPr>
      </w:pPr>
      <w:r>
        <w:rPr>
          <w:rFonts w:ascii="宋体" w:hAnsi="宋体" w:cs="仿宋"/>
          <w:b/>
          <w:color w:val="auto"/>
          <w:sz w:val="22"/>
          <w:szCs w:val="22"/>
          <w:highlight w:val="none"/>
        </w:rPr>
        <w:t xml:space="preserve">4.  </w:t>
      </w:r>
      <w:r>
        <w:rPr>
          <w:rFonts w:hint="eastAsia" w:ascii="宋体" w:hAnsi="宋体" w:cs="仿宋"/>
          <w:b/>
          <w:color w:val="auto"/>
          <w:sz w:val="22"/>
          <w:szCs w:val="22"/>
          <w:highlight w:val="none"/>
        </w:rPr>
        <w:t>采购项目需要落实的政府采购政策</w:t>
      </w:r>
    </w:p>
    <w:p w14:paraId="4F742677">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4.1 根据《政府采购进口产品管理办法》的通知（财库〔2007〕119 号）文件相关规定，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3603DED8">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4.2 支持绿色发展</w:t>
      </w:r>
    </w:p>
    <w:p w14:paraId="4C637735">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14:paraId="2A85677D">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4.2.2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86BA1A1">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4.3支持中小企业发展</w:t>
      </w:r>
    </w:p>
    <w:p w14:paraId="06CA8298">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4.3.1中小企业，是指在中华人民共和国境内依法设立，依据国务院批准的中小企业划分标准确定的中型企业、小型企业和微型企业，但与大企业的负责人为同一人，或者与大企业存在直接控股、管理关系的除外。</w:t>
      </w:r>
    </w:p>
    <w:p w14:paraId="417A5231">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符合中小企业划分标准的个体工商户，在政府采购活动中视同中小企业。</w:t>
      </w:r>
    </w:p>
    <w:p w14:paraId="634C1639">
      <w:pPr>
        <w:widowControl/>
        <w:spacing w:line="440" w:lineRule="exact"/>
        <w:ind w:firstLine="440" w:firstLineChars="200"/>
        <w:jc w:val="left"/>
        <w:rPr>
          <w:rFonts w:ascii="宋体" w:hAnsi="宋体" w:cs="仿宋"/>
          <w:color w:val="auto"/>
          <w:sz w:val="22"/>
          <w:szCs w:val="22"/>
          <w:highlight w:val="none"/>
        </w:rPr>
      </w:pPr>
      <w:r>
        <w:rPr>
          <w:rFonts w:hint="eastAsia" w:ascii="宋体" w:hAnsi="宋体" w:cs="仿宋"/>
          <w:bCs/>
          <w:color w:val="auto"/>
          <w:sz w:val="22"/>
          <w:szCs w:val="22"/>
          <w:highlight w:val="none"/>
        </w:rPr>
        <w:t>4.3.2</w:t>
      </w:r>
      <w:r>
        <w:rPr>
          <w:rFonts w:hint="eastAsia" w:ascii="宋体" w:hAnsi="宋体" w:cs="仿宋"/>
          <w:color w:val="auto"/>
          <w:sz w:val="22"/>
          <w:szCs w:val="22"/>
          <w:highlight w:val="none"/>
        </w:rPr>
        <w:t>在政府采购活动中，投标人提供的货物、工程或者服务符合下列情形的，享受中小企业扶持政策：</w:t>
      </w:r>
    </w:p>
    <w:p w14:paraId="75FE9A09">
      <w:pPr>
        <w:widowControl/>
        <w:spacing w:line="440" w:lineRule="exact"/>
        <w:ind w:firstLine="440" w:firstLineChars="200"/>
        <w:jc w:val="left"/>
        <w:rPr>
          <w:rFonts w:ascii="宋体" w:hAnsi="宋体" w:cs="仿宋"/>
          <w:color w:val="auto"/>
          <w:sz w:val="22"/>
          <w:szCs w:val="22"/>
          <w:highlight w:val="none"/>
        </w:rPr>
      </w:pPr>
      <w:r>
        <w:rPr>
          <w:rFonts w:hint="eastAsia" w:ascii="宋体" w:hAnsi="宋体" w:cs="仿宋"/>
          <w:color w:val="auto"/>
          <w:sz w:val="22"/>
          <w:szCs w:val="22"/>
          <w:highlight w:val="none"/>
        </w:rPr>
        <w:t>4.3.2.1在货物采购项目中，货物由中小企业制造，即货物由中小企业生产且使用该中小企业商号或者注册商标。</w:t>
      </w:r>
    </w:p>
    <w:p w14:paraId="5CF08FB4">
      <w:pPr>
        <w:widowControl/>
        <w:spacing w:line="440" w:lineRule="exact"/>
        <w:ind w:firstLine="440" w:firstLineChars="200"/>
        <w:jc w:val="left"/>
        <w:rPr>
          <w:rFonts w:ascii="宋体" w:hAnsi="宋体" w:cs="仿宋"/>
          <w:color w:val="auto"/>
          <w:sz w:val="22"/>
          <w:szCs w:val="22"/>
          <w:highlight w:val="none"/>
        </w:rPr>
      </w:pPr>
      <w:r>
        <w:rPr>
          <w:rFonts w:hint="eastAsia" w:ascii="宋体" w:hAnsi="宋体" w:cs="仿宋"/>
          <w:color w:val="auto"/>
          <w:sz w:val="22"/>
          <w:szCs w:val="22"/>
          <w:highlight w:val="none"/>
        </w:rPr>
        <w:t>4.3.2.2在工程采购项目中，工程由中小企业承建，即工程施工单位为中小企业。</w:t>
      </w:r>
    </w:p>
    <w:p w14:paraId="525360FD">
      <w:pPr>
        <w:widowControl/>
        <w:spacing w:line="440" w:lineRule="exact"/>
        <w:ind w:firstLine="440" w:firstLineChars="200"/>
        <w:jc w:val="left"/>
        <w:rPr>
          <w:rFonts w:ascii="宋体" w:hAnsi="宋体" w:cs="仿宋"/>
          <w:color w:val="auto"/>
          <w:sz w:val="22"/>
          <w:szCs w:val="22"/>
          <w:highlight w:val="none"/>
        </w:rPr>
      </w:pPr>
      <w:r>
        <w:rPr>
          <w:rFonts w:hint="eastAsia" w:ascii="宋体" w:hAnsi="宋体" w:cs="仿宋"/>
          <w:color w:val="auto"/>
          <w:sz w:val="22"/>
          <w:szCs w:val="22"/>
          <w:highlight w:val="none"/>
        </w:rPr>
        <w:t>4.3.2.3在服务采购项目中，服务由中小企业承接，即提供服务的人员为中小企业依照《中华人民共和国劳动合同法》订立劳动合同的从业人员。</w:t>
      </w:r>
    </w:p>
    <w:p w14:paraId="5F5E28B3">
      <w:pPr>
        <w:widowControl/>
        <w:spacing w:line="440" w:lineRule="exact"/>
        <w:ind w:firstLine="440" w:firstLineChars="200"/>
        <w:jc w:val="left"/>
        <w:rPr>
          <w:rFonts w:ascii="宋体" w:hAnsi="宋体" w:cs="仿宋"/>
          <w:color w:val="auto"/>
          <w:sz w:val="22"/>
          <w:szCs w:val="22"/>
          <w:highlight w:val="none"/>
        </w:rPr>
      </w:pPr>
      <w:r>
        <w:rPr>
          <w:rFonts w:hint="eastAsia" w:ascii="宋体" w:hAnsi="宋体" w:cs="仿宋"/>
          <w:color w:val="auto"/>
          <w:sz w:val="22"/>
          <w:szCs w:val="22"/>
          <w:highlight w:val="none"/>
        </w:rPr>
        <w:t>在货物采购项目中，投标人提供的货物既有中小企业制造货物，也有大型企业制造货物的，不享受中小企业扶持政策。</w:t>
      </w:r>
    </w:p>
    <w:p w14:paraId="17457D3C">
      <w:pPr>
        <w:widowControl/>
        <w:spacing w:line="440" w:lineRule="exact"/>
        <w:ind w:firstLine="440" w:firstLineChars="200"/>
        <w:jc w:val="left"/>
        <w:rPr>
          <w:rFonts w:ascii="宋体" w:hAnsi="宋体" w:cs="仿宋"/>
          <w:color w:val="auto"/>
          <w:sz w:val="22"/>
          <w:szCs w:val="22"/>
          <w:highlight w:val="none"/>
        </w:rPr>
      </w:pPr>
      <w:r>
        <w:rPr>
          <w:rFonts w:hint="eastAsia" w:ascii="宋体" w:hAnsi="宋体" w:cs="仿宋"/>
          <w:color w:val="auto"/>
          <w:sz w:val="22"/>
          <w:szCs w:val="22"/>
          <w:highlight w:val="none"/>
        </w:rPr>
        <w:t>以联合体形式参加政府采购活动，联合体各方均为中小企业的，联合体视同中小企业。其中，联合体各方均为小微企业的，联合体视同小微企业。</w:t>
      </w:r>
    </w:p>
    <w:p w14:paraId="6F09A276">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4.3.3对于未预留份额专门面向中小企业的政府采购货物或服务项目，以及预留份额政府采购货物或服务项目中的非预留部分标项，对小型和微型企业的投标报价给予10%-20%（工程项目为3%-5%）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工程项目为1%-2%）的扣除，用扣除后的价格参加评审。组成联合体或者接受分包的小微企业与联合体内其他企业、分包企业之间存在直接控股、管理关系的，不享受价格扣除优惠政策。</w:t>
      </w:r>
    </w:p>
    <w:p w14:paraId="49D78F7E">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4.3.4符合《关于促进残疾人就业政府采购政策的通知》（财库〔2017〕141号）规定的条件并提供《残疾人福利性单位声明函》（附件八）的残疾人福利性单位视同小型、微型企业；</w:t>
      </w:r>
    </w:p>
    <w:p w14:paraId="65C8BBD0">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4.3.5符合《关于政府采购支持监狱企业发展有关问题的通知》（财库[2014]68号）规定的监狱企业并提供由省级以上监狱管理局、戒毒管理局（含新疆生产建设兵团）出具的属于监狱企业证明文件的，视同为小型、微型企业。</w:t>
      </w:r>
    </w:p>
    <w:p w14:paraId="7220D613">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4.3.6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0316967">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4.3.7中小企业享受扶持政策获得政府采购合同的，小微企业不得将合同分包给大中型企业，中型企业不得将合同分包给大型企业。</w:t>
      </w:r>
    </w:p>
    <w:p w14:paraId="5F752D12">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4.4中小企业信用融资：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71C60141">
      <w:pPr>
        <w:snapToGrid w:val="0"/>
        <w:spacing w:line="440" w:lineRule="exact"/>
        <w:ind w:firstLine="440" w:firstLineChars="200"/>
        <w:rPr>
          <w:rFonts w:ascii="宋体" w:hAnsi="宋体" w:cs="仿宋"/>
          <w:color w:val="auto"/>
          <w:sz w:val="22"/>
          <w:szCs w:val="22"/>
          <w:highlight w:val="none"/>
        </w:rPr>
      </w:pPr>
      <w:r>
        <w:rPr>
          <w:rFonts w:hint="eastAsia" w:ascii="宋体" w:hAnsi="宋体" w:cs="仿宋"/>
          <w:snapToGrid w:val="0"/>
          <w:color w:val="auto"/>
          <w:kern w:val="28"/>
          <w:sz w:val="22"/>
          <w:szCs w:val="22"/>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7011DC02">
      <w:pPr>
        <w:spacing w:line="440" w:lineRule="exact"/>
        <w:rPr>
          <w:rFonts w:ascii="宋体" w:hAnsi="宋体" w:cs="仿宋"/>
          <w:b/>
          <w:color w:val="auto"/>
          <w:sz w:val="22"/>
          <w:szCs w:val="22"/>
          <w:highlight w:val="none"/>
        </w:rPr>
      </w:pPr>
      <w:r>
        <w:rPr>
          <w:rFonts w:hint="eastAsia" w:ascii="宋体" w:hAnsi="宋体" w:cs="仿宋"/>
          <w:b/>
          <w:color w:val="auto"/>
          <w:sz w:val="22"/>
          <w:szCs w:val="22"/>
          <w:highlight w:val="none"/>
        </w:rPr>
        <w:t>5.询问、质疑、投诉</w:t>
      </w:r>
    </w:p>
    <w:p w14:paraId="2EB320D4">
      <w:pPr>
        <w:autoSpaceDE w:val="0"/>
        <w:autoSpaceDN w:val="0"/>
        <w:spacing w:line="440" w:lineRule="exact"/>
        <w:ind w:firstLine="220" w:firstLineChars="100"/>
        <w:jc w:val="left"/>
        <w:rPr>
          <w:rFonts w:ascii="宋体" w:hAnsi="宋体" w:cs="仿宋"/>
          <w:color w:val="auto"/>
          <w:sz w:val="22"/>
          <w:szCs w:val="22"/>
          <w:highlight w:val="none"/>
          <w:lang w:val="zh-CN"/>
        </w:rPr>
      </w:pPr>
      <w:r>
        <w:rPr>
          <w:rFonts w:hint="eastAsia" w:ascii="宋体" w:hAnsi="宋体" w:cs="仿宋"/>
          <w:color w:val="auto"/>
          <w:sz w:val="22"/>
          <w:szCs w:val="22"/>
          <w:highlight w:val="none"/>
        </w:rPr>
        <w:t>5</w:t>
      </w:r>
      <w:r>
        <w:rPr>
          <w:rFonts w:hint="eastAsia" w:ascii="宋体" w:hAnsi="宋体" w:cs="仿宋"/>
          <w:color w:val="auto"/>
          <w:sz w:val="22"/>
          <w:szCs w:val="22"/>
          <w:highlight w:val="none"/>
          <w:lang w:val="zh-CN"/>
        </w:rPr>
        <w:t>.1供应商询问</w:t>
      </w:r>
    </w:p>
    <w:p w14:paraId="58714AE0">
      <w:pPr>
        <w:autoSpaceDE w:val="0"/>
        <w:autoSpaceDN w:val="0"/>
        <w:spacing w:line="440" w:lineRule="exact"/>
        <w:ind w:firstLine="440" w:firstLineChars="200"/>
        <w:jc w:val="left"/>
        <w:rPr>
          <w:rFonts w:ascii="宋体" w:hAnsi="宋体" w:cs="仿宋"/>
          <w:color w:val="auto"/>
          <w:sz w:val="22"/>
          <w:szCs w:val="22"/>
          <w:highlight w:val="none"/>
          <w:lang w:val="zh-CN"/>
        </w:rPr>
      </w:pPr>
      <w:r>
        <w:rPr>
          <w:rFonts w:hint="eastAsia" w:ascii="宋体" w:hAnsi="宋体" w:cs="仿宋"/>
          <w:color w:val="auto"/>
          <w:sz w:val="22"/>
          <w:szCs w:val="22"/>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89F9D31">
      <w:pPr>
        <w:autoSpaceDE w:val="0"/>
        <w:autoSpaceDN w:val="0"/>
        <w:spacing w:line="440" w:lineRule="exact"/>
        <w:ind w:firstLine="220" w:firstLineChars="100"/>
        <w:jc w:val="left"/>
        <w:rPr>
          <w:rFonts w:ascii="宋体" w:hAnsi="宋体" w:cs="仿宋"/>
          <w:color w:val="auto"/>
          <w:sz w:val="22"/>
          <w:szCs w:val="22"/>
          <w:highlight w:val="none"/>
          <w:lang w:val="zh-CN"/>
        </w:rPr>
      </w:pPr>
      <w:r>
        <w:rPr>
          <w:rFonts w:hint="eastAsia" w:ascii="宋体" w:hAnsi="宋体" w:cs="仿宋"/>
          <w:color w:val="auto"/>
          <w:sz w:val="22"/>
          <w:szCs w:val="22"/>
          <w:highlight w:val="none"/>
        </w:rPr>
        <w:t>5</w:t>
      </w:r>
      <w:r>
        <w:rPr>
          <w:rFonts w:hint="eastAsia" w:ascii="宋体" w:hAnsi="宋体" w:cs="仿宋"/>
          <w:color w:val="auto"/>
          <w:sz w:val="22"/>
          <w:szCs w:val="22"/>
          <w:highlight w:val="none"/>
          <w:lang w:val="zh-CN"/>
        </w:rPr>
        <w:t>.2供应商质疑</w:t>
      </w:r>
    </w:p>
    <w:p w14:paraId="2D43D1A6">
      <w:pPr>
        <w:pStyle w:val="24"/>
        <w:spacing w:line="440" w:lineRule="exact"/>
        <w:ind w:firstLine="440" w:firstLineChars="200"/>
        <w:rPr>
          <w:rFonts w:hAnsi="宋体" w:cs="仿宋"/>
          <w:color w:val="auto"/>
          <w:sz w:val="22"/>
          <w:szCs w:val="22"/>
          <w:highlight w:val="none"/>
        </w:rPr>
      </w:pPr>
      <w:r>
        <w:rPr>
          <w:rFonts w:hint="eastAsia" w:hAnsi="宋体" w:cs="仿宋"/>
          <w:color w:val="auto"/>
          <w:sz w:val="22"/>
          <w:szCs w:val="22"/>
          <w:highlight w:val="none"/>
        </w:rPr>
        <w:t>5</w:t>
      </w:r>
      <w:r>
        <w:rPr>
          <w:rFonts w:hint="eastAsia" w:hAnsi="宋体" w:cs="仿宋"/>
          <w:color w:val="auto"/>
          <w:sz w:val="22"/>
          <w:szCs w:val="22"/>
          <w:highlight w:val="none"/>
          <w:lang w:val="zh-CN"/>
        </w:rPr>
        <w:t>.2</w:t>
      </w:r>
      <w:r>
        <w:rPr>
          <w:rFonts w:hint="eastAsia" w:hAnsi="宋体" w:cs="仿宋"/>
          <w:color w:val="auto"/>
          <w:sz w:val="22"/>
          <w:szCs w:val="22"/>
          <w:highlight w:val="none"/>
        </w:rPr>
        <w:t>.1提出质疑的供应商应当是参与所质疑项目采购活动的供应商。潜在供应商已依法获取其可质疑的招标文件的，可以对该文件提出质疑。</w:t>
      </w:r>
    </w:p>
    <w:p w14:paraId="35E8A989">
      <w:pPr>
        <w:pStyle w:val="24"/>
        <w:spacing w:line="440" w:lineRule="exact"/>
        <w:ind w:firstLine="440" w:firstLineChars="200"/>
        <w:rPr>
          <w:rFonts w:hAnsi="宋体" w:cs="仿宋"/>
          <w:color w:val="auto"/>
          <w:sz w:val="22"/>
          <w:szCs w:val="22"/>
          <w:highlight w:val="none"/>
        </w:rPr>
      </w:pPr>
      <w:r>
        <w:rPr>
          <w:rFonts w:hint="eastAsia" w:hAnsi="宋体" w:cs="仿宋"/>
          <w:color w:val="auto"/>
          <w:sz w:val="22"/>
          <w:szCs w:val="22"/>
          <w:highlight w:val="none"/>
        </w:rPr>
        <w:t>5</w:t>
      </w:r>
      <w:r>
        <w:rPr>
          <w:rFonts w:hint="eastAsia" w:hAnsi="宋体" w:cs="仿宋"/>
          <w:color w:val="auto"/>
          <w:sz w:val="22"/>
          <w:szCs w:val="22"/>
          <w:highlight w:val="none"/>
          <w:lang w:val="zh-CN"/>
        </w:rPr>
        <w:t>.2</w:t>
      </w:r>
      <w:r>
        <w:rPr>
          <w:rFonts w:hint="eastAsia" w:hAnsi="宋体" w:cs="仿宋"/>
          <w:color w:val="auto"/>
          <w:sz w:val="22"/>
          <w:szCs w:val="22"/>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FDF92D4">
      <w:pPr>
        <w:pStyle w:val="11"/>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5.2.2.1质疑提交形式：以书面形式向招标公告中载明的质疑联系人提交或登录政采云平台（https://www.zcygov.cn/）通过“询问质疑投诉”栏向采购机构内设的质疑联系人提交并上传书面质疑材料。</w:t>
      </w:r>
    </w:p>
    <w:p w14:paraId="35DEB947">
      <w:pPr>
        <w:pStyle w:val="11"/>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5.2.2.2对招标文件提出质疑的，质疑期限为供应商获得招标文件之日或者招标文件公告期限届满之日起计算（公告期限届满后获取采购文件的，以公告期限届满之日为准）。</w:t>
      </w:r>
    </w:p>
    <w:p w14:paraId="59CF5ED1">
      <w:pPr>
        <w:pStyle w:val="24"/>
        <w:spacing w:line="440" w:lineRule="exact"/>
        <w:ind w:firstLine="440" w:firstLineChars="200"/>
        <w:rPr>
          <w:rFonts w:hAnsi="宋体" w:cs="仿宋"/>
          <w:color w:val="auto"/>
          <w:sz w:val="22"/>
          <w:szCs w:val="22"/>
          <w:highlight w:val="none"/>
        </w:rPr>
      </w:pPr>
      <w:r>
        <w:rPr>
          <w:rFonts w:hint="eastAsia" w:hAnsi="宋体" w:cs="仿宋"/>
          <w:color w:val="auto"/>
          <w:sz w:val="22"/>
          <w:szCs w:val="22"/>
          <w:highlight w:val="none"/>
        </w:rPr>
        <w:t>5.2.2.3</w:t>
      </w:r>
      <w:r>
        <w:rPr>
          <w:rFonts w:hint="eastAsia" w:hAnsi="宋体" w:cs="仿宋"/>
          <w:b/>
          <w:bCs/>
          <w:color w:val="auto"/>
          <w:sz w:val="22"/>
          <w:szCs w:val="22"/>
          <w:highlight w:val="none"/>
        </w:rPr>
        <w:t>对采购过程提出质疑的，质疑期限为各采购程序环节结束之日起计算。对同一采购程序环节的质疑，供应商须一次性提出。</w:t>
      </w:r>
    </w:p>
    <w:p w14:paraId="491D661F">
      <w:pPr>
        <w:pStyle w:val="24"/>
        <w:spacing w:line="440" w:lineRule="exact"/>
        <w:ind w:firstLine="440" w:firstLineChars="200"/>
        <w:rPr>
          <w:rFonts w:hAnsi="宋体" w:cs="仿宋"/>
          <w:color w:val="auto"/>
          <w:sz w:val="22"/>
          <w:szCs w:val="22"/>
          <w:highlight w:val="none"/>
        </w:rPr>
      </w:pPr>
      <w:r>
        <w:rPr>
          <w:rFonts w:hint="eastAsia" w:hAnsi="宋体" w:cs="仿宋"/>
          <w:color w:val="auto"/>
          <w:sz w:val="22"/>
          <w:szCs w:val="22"/>
          <w:highlight w:val="none"/>
        </w:rPr>
        <w:t>5.2.2.4对采购结果提出质疑的，质疑期限自采购结果公告期限届满之日起计算。</w:t>
      </w:r>
    </w:p>
    <w:p w14:paraId="7CD356CA">
      <w:pPr>
        <w:pStyle w:val="24"/>
        <w:spacing w:line="440" w:lineRule="exact"/>
        <w:ind w:firstLine="440" w:firstLineChars="200"/>
        <w:rPr>
          <w:rFonts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w:t>
      </w:r>
      <w:r>
        <w:rPr>
          <w:rFonts w:hint="eastAsia" w:hAnsi="宋体" w:cs="仿宋"/>
          <w:color w:val="auto"/>
          <w:sz w:val="22"/>
          <w:szCs w:val="22"/>
          <w:highlight w:val="none"/>
        </w:rPr>
        <w:t>供应商提出质疑应当提交质疑函和必要的证明材料。质疑函应当包括下列内容：</w:t>
      </w:r>
    </w:p>
    <w:p w14:paraId="1A9B1FC3">
      <w:pPr>
        <w:pStyle w:val="24"/>
        <w:spacing w:line="440" w:lineRule="exact"/>
        <w:ind w:firstLine="440" w:firstLineChars="200"/>
        <w:rPr>
          <w:rFonts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.2.3.1供应商的姓名或者名称、地址、邮编、联系人及联系电话；</w:t>
      </w:r>
    </w:p>
    <w:p w14:paraId="5A0099AC">
      <w:pPr>
        <w:pStyle w:val="24"/>
        <w:spacing w:line="440" w:lineRule="exact"/>
        <w:ind w:firstLine="440" w:firstLineChars="200"/>
        <w:rPr>
          <w:rFonts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.2.3.2质疑项目的名称、编号；</w:t>
      </w:r>
    </w:p>
    <w:p w14:paraId="749A1E6E">
      <w:pPr>
        <w:pStyle w:val="24"/>
        <w:spacing w:line="440" w:lineRule="exact"/>
        <w:ind w:firstLine="440" w:firstLineChars="200"/>
        <w:rPr>
          <w:rFonts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.2.3.3具体、明确的质疑事项和与质疑事项相关的请求；</w:t>
      </w:r>
    </w:p>
    <w:p w14:paraId="74213129">
      <w:pPr>
        <w:pStyle w:val="24"/>
        <w:spacing w:line="440" w:lineRule="exact"/>
        <w:ind w:firstLine="440" w:firstLineChars="200"/>
        <w:rPr>
          <w:rFonts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.2.3.4事实依据；</w:t>
      </w:r>
    </w:p>
    <w:p w14:paraId="4F8ACB80">
      <w:pPr>
        <w:pStyle w:val="24"/>
        <w:spacing w:line="440" w:lineRule="exact"/>
        <w:ind w:firstLine="440" w:firstLineChars="200"/>
        <w:rPr>
          <w:rFonts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.2.3.5必要的法律依据；</w:t>
      </w:r>
    </w:p>
    <w:p w14:paraId="0CE415D8">
      <w:pPr>
        <w:spacing w:line="440" w:lineRule="exact"/>
        <w:ind w:firstLine="440" w:firstLineChars="200"/>
        <w:rPr>
          <w:rFonts w:ascii="宋体" w:hAnsi="宋体" w:cs="仿宋"/>
          <w:color w:val="auto"/>
          <w:sz w:val="22"/>
          <w:szCs w:val="22"/>
          <w:highlight w:val="none"/>
          <w:lang w:val="zh-CN"/>
        </w:rPr>
      </w:pPr>
      <w:r>
        <w:rPr>
          <w:rFonts w:hint="eastAsia" w:ascii="宋体" w:hAnsi="宋体" w:cs="仿宋"/>
          <w:color w:val="auto"/>
          <w:sz w:val="22"/>
          <w:szCs w:val="22"/>
          <w:highlight w:val="none"/>
        </w:rPr>
        <w:t>5</w:t>
      </w:r>
      <w:r>
        <w:rPr>
          <w:rFonts w:hint="eastAsia" w:ascii="宋体" w:hAnsi="宋体" w:cs="仿宋"/>
          <w:color w:val="auto"/>
          <w:sz w:val="22"/>
          <w:szCs w:val="22"/>
          <w:highlight w:val="none"/>
          <w:lang w:val="zh-CN"/>
        </w:rPr>
        <w:t>.2.3.6提出质疑的日期。</w:t>
      </w:r>
    </w:p>
    <w:p w14:paraId="0900D298">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供应商为自然人的，应当由本人签字；供应商为法人或者其他组织的，应当由法定代表人、主要负责人，或者其授权代表签字或者盖章，并加盖公章。</w:t>
      </w:r>
    </w:p>
    <w:p w14:paraId="330FEDB8">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质疑函范本及制作说明详见浙江政府采购网相关格式内容。</w:t>
      </w:r>
    </w:p>
    <w:p w14:paraId="1CD51379">
      <w:pPr>
        <w:spacing w:line="440" w:lineRule="exact"/>
        <w:ind w:firstLine="440" w:firstLineChars="200"/>
        <w:rPr>
          <w:rFonts w:ascii="宋体" w:hAnsi="宋体" w:cs="仿宋"/>
          <w:color w:val="auto"/>
          <w:sz w:val="22"/>
          <w:szCs w:val="22"/>
          <w:highlight w:val="none"/>
          <w:lang w:val="zh-CN"/>
        </w:rPr>
      </w:pPr>
      <w:r>
        <w:rPr>
          <w:rFonts w:hint="eastAsia" w:ascii="宋体" w:hAnsi="宋体" w:cs="仿宋"/>
          <w:color w:val="auto"/>
          <w:sz w:val="22"/>
          <w:szCs w:val="22"/>
          <w:highlight w:val="none"/>
        </w:rPr>
        <w:t>5</w:t>
      </w:r>
      <w:r>
        <w:rPr>
          <w:rFonts w:hint="eastAsia" w:ascii="宋体" w:hAnsi="宋体" w:cs="仿宋"/>
          <w:color w:val="auto"/>
          <w:sz w:val="22"/>
          <w:szCs w:val="22"/>
          <w:highlight w:val="none"/>
          <w:lang w:val="zh-CN"/>
        </w:rPr>
        <w:t>.2.4采购人或者采购代理机构应当在收到供应商的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14:paraId="040426AD">
      <w:pPr>
        <w:spacing w:line="440" w:lineRule="exact"/>
        <w:ind w:firstLine="440" w:firstLineChars="200"/>
        <w:rPr>
          <w:rFonts w:ascii="宋体" w:hAnsi="宋体" w:cs="仿宋"/>
          <w:color w:val="auto"/>
          <w:sz w:val="22"/>
          <w:szCs w:val="22"/>
          <w:highlight w:val="none"/>
          <w:lang w:val="zh-CN"/>
        </w:rPr>
      </w:pPr>
      <w:r>
        <w:rPr>
          <w:rFonts w:hint="eastAsia" w:ascii="宋体" w:hAnsi="宋体" w:cs="仿宋"/>
          <w:color w:val="auto"/>
          <w:sz w:val="22"/>
          <w:szCs w:val="22"/>
          <w:highlight w:val="none"/>
        </w:rPr>
        <w:t>5</w:t>
      </w:r>
      <w:r>
        <w:rPr>
          <w:rFonts w:hint="eastAsia" w:ascii="宋体" w:hAnsi="宋体" w:cs="仿宋"/>
          <w:color w:val="auto"/>
          <w:sz w:val="22"/>
          <w:szCs w:val="22"/>
          <w:highlight w:val="none"/>
          <w:lang w:val="zh-CN"/>
        </w:rPr>
        <w:t>.2.5询问或者质疑事项可能影响采购结果的，采购人应当暂停签订合同，已经签订合同的，应当中止履行合同。</w:t>
      </w:r>
    </w:p>
    <w:p w14:paraId="12CBA3AC">
      <w:pPr>
        <w:spacing w:line="440" w:lineRule="exact"/>
        <w:ind w:firstLine="440" w:firstLineChars="200"/>
        <w:rPr>
          <w:rFonts w:ascii="宋体" w:hAnsi="宋体" w:cs="仿宋"/>
          <w:color w:val="auto"/>
          <w:sz w:val="22"/>
          <w:szCs w:val="22"/>
          <w:highlight w:val="none"/>
          <w:lang w:val="zh-CN"/>
        </w:rPr>
      </w:pPr>
      <w:r>
        <w:rPr>
          <w:rFonts w:hint="eastAsia" w:ascii="宋体" w:hAnsi="宋体" w:cs="仿宋"/>
          <w:color w:val="auto"/>
          <w:sz w:val="22"/>
          <w:szCs w:val="22"/>
          <w:highlight w:val="none"/>
        </w:rPr>
        <w:t>5</w:t>
      </w:r>
      <w:r>
        <w:rPr>
          <w:rFonts w:hint="eastAsia" w:ascii="宋体" w:hAnsi="宋体" w:cs="仿宋"/>
          <w:color w:val="auto"/>
          <w:sz w:val="22"/>
          <w:szCs w:val="22"/>
          <w:highlight w:val="none"/>
          <w:lang w:val="zh-CN"/>
        </w:rPr>
        <w:t>.3供应商投诉</w:t>
      </w:r>
    </w:p>
    <w:p w14:paraId="7A7A73A1">
      <w:pPr>
        <w:spacing w:line="440" w:lineRule="exact"/>
        <w:ind w:firstLine="440" w:firstLineChars="200"/>
        <w:rPr>
          <w:rFonts w:ascii="宋体" w:hAnsi="宋体" w:cs="仿宋"/>
          <w:color w:val="auto"/>
          <w:sz w:val="22"/>
          <w:szCs w:val="22"/>
          <w:highlight w:val="none"/>
          <w:lang w:val="zh-CN"/>
        </w:rPr>
      </w:pPr>
      <w:r>
        <w:rPr>
          <w:rFonts w:hint="eastAsia" w:ascii="宋体" w:hAnsi="宋体" w:cs="仿宋"/>
          <w:color w:val="auto"/>
          <w:sz w:val="22"/>
          <w:szCs w:val="22"/>
          <w:highlight w:val="none"/>
          <w:lang w:val="zh-CN"/>
        </w:rPr>
        <w:t>5.3.1质疑供应商对采购人、采购代理机构的答复不满意或者采购人、采购代理机构未在规定的时间内作出答复的，可以在答复期满后十五个工作日内向同级政府采购监督管理部门提出投诉。</w:t>
      </w:r>
    </w:p>
    <w:p w14:paraId="66A43971">
      <w:pPr>
        <w:spacing w:line="440" w:lineRule="exact"/>
        <w:ind w:firstLine="440" w:firstLineChars="200"/>
        <w:rPr>
          <w:rFonts w:ascii="宋体" w:hAnsi="宋体" w:cs="仿宋"/>
          <w:color w:val="auto"/>
          <w:sz w:val="22"/>
          <w:szCs w:val="22"/>
          <w:highlight w:val="none"/>
          <w:lang w:val="zh-CN"/>
        </w:rPr>
      </w:pPr>
      <w:r>
        <w:rPr>
          <w:rFonts w:hint="eastAsia" w:ascii="宋体" w:hAnsi="宋体" w:cs="仿宋"/>
          <w:color w:val="auto"/>
          <w:sz w:val="22"/>
          <w:szCs w:val="22"/>
          <w:highlight w:val="none"/>
          <w:lang w:val="zh-CN"/>
        </w:rPr>
        <w:t>5.3.2供应商投诉的事项不得超出已质疑事项的范围，基于质疑答复内容提出的投诉事项除外。</w:t>
      </w:r>
    </w:p>
    <w:p w14:paraId="04D08081">
      <w:pPr>
        <w:spacing w:line="440" w:lineRule="exact"/>
        <w:ind w:firstLine="440" w:firstLineChars="200"/>
        <w:rPr>
          <w:rFonts w:ascii="宋体" w:hAnsi="宋体" w:cs="仿宋"/>
          <w:color w:val="auto"/>
          <w:sz w:val="22"/>
          <w:szCs w:val="22"/>
          <w:highlight w:val="none"/>
          <w:lang w:val="zh-CN"/>
        </w:rPr>
      </w:pPr>
      <w:r>
        <w:rPr>
          <w:rFonts w:hint="eastAsia" w:ascii="宋体" w:hAnsi="宋体" w:cs="仿宋"/>
          <w:color w:val="auto"/>
          <w:sz w:val="22"/>
          <w:szCs w:val="22"/>
          <w:highlight w:val="none"/>
          <w:lang w:val="zh-CN"/>
        </w:rPr>
        <w:t>5.3.3供应商投诉应当有明确的请求和必要的证明材料。</w:t>
      </w:r>
    </w:p>
    <w:p w14:paraId="5A966FA8">
      <w:pPr>
        <w:spacing w:line="440" w:lineRule="exact"/>
        <w:ind w:firstLine="440" w:firstLineChars="200"/>
        <w:rPr>
          <w:rFonts w:ascii="宋体" w:hAnsi="宋体" w:cs="仿宋"/>
          <w:color w:val="auto"/>
          <w:sz w:val="22"/>
          <w:szCs w:val="22"/>
          <w:highlight w:val="none"/>
          <w:lang w:val="zh-CN"/>
        </w:rPr>
      </w:pPr>
      <w:r>
        <w:rPr>
          <w:rFonts w:hint="eastAsia" w:ascii="宋体" w:hAnsi="宋体" w:cs="仿宋"/>
          <w:color w:val="auto"/>
          <w:sz w:val="22"/>
          <w:szCs w:val="22"/>
          <w:highlight w:val="none"/>
          <w:lang w:val="zh-CN"/>
        </w:rPr>
        <w:t>5.3.</w:t>
      </w:r>
      <w:r>
        <w:rPr>
          <w:rFonts w:ascii="宋体" w:hAnsi="宋体" w:cs="仿宋"/>
          <w:color w:val="auto"/>
          <w:sz w:val="22"/>
          <w:szCs w:val="22"/>
          <w:highlight w:val="none"/>
          <w:lang w:val="zh-CN"/>
        </w:rPr>
        <w:t>4</w:t>
      </w:r>
      <w:r>
        <w:rPr>
          <w:rFonts w:hint="eastAsia" w:ascii="宋体" w:hAnsi="宋体" w:cs="仿宋"/>
          <w:color w:val="auto"/>
          <w:sz w:val="22"/>
          <w:szCs w:val="22"/>
          <w:highlight w:val="none"/>
          <w:lang w:val="zh-CN"/>
        </w:rPr>
        <w:t>以联合体形式参加政府采购活动的，其投诉应当由组成联合体的所有供应商共同提出。</w:t>
      </w:r>
    </w:p>
    <w:p w14:paraId="6BB4C134">
      <w:pPr>
        <w:spacing w:line="440" w:lineRule="exact"/>
        <w:ind w:firstLine="440" w:firstLineChars="200"/>
        <w:rPr>
          <w:rFonts w:ascii="宋体" w:hAnsi="宋体" w:cs="仿宋"/>
          <w:color w:val="auto"/>
          <w:sz w:val="22"/>
          <w:szCs w:val="22"/>
          <w:highlight w:val="none"/>
          <w:lang w:val="zh-CN"/>
        </w:rPr>
      </w:pPr>
      <w:r>
        <w:rPr>
          <w:rFonts w:hint="eastAsia" w:ascii="宋体" w:hAnsi="宋体" w:cs="仿宋"/>
          <w:color w:val="auto"/>
          <w:sz w:val="22"/>
          <w:szCs w:val="22"/>
          <w:highlight w:val="none"/>
          <w:lang w:val="zh-CN"/>
        </w:rPr>
        <w:t>投诉书范本及制作说明详见浙江政府采购网相关格式内容。</w:t>
      </w:r>
    </w:p>
    <w:p w14:paraId="7E40810D">
      <w:pPr>
        <w:pStyle w:val="3"/>
        <w:spacing w:line="680" w:lineRule="exact"/>
        <w:jc w:val="center"/>
        <w:rPr>
          <w:rFonts w:ascii="宋体" w:hAnsi="宋体" w:eastAsia="宋体" w:cs="宋体"/>
          <w:color w:val="auto"/>
          <w:sz w:val="28"/>
          <w:szCs w:val="28"/>
          <w:highlight w:val="none"/>
        </w:rPr>
      </w:pPr>
      <w:bookmarkStart w:id="33" w:name="_Toc19385"/>
      <w:r>
        <w:rPr>
          <w:rFonts w:hint="eastAsia" w:ascii="宋体" w:hAnsi="宋体" w:eastAsia="宋体" w:cs="宋体"/>
          <w:color w:val="auto"/>
          <w:sz w:val="28"/>
          <w:szCs w:val="28"/>
          <w:highlight w:val="none"/>
        </w:rPr>
        <w:t>二、 招标文件</w:t>
      </w:r>
      <w:bookmarkEnd w:id="29"/>
      <w:bookmarkEnd w:id="33"/>
    </w:p>
    <w:p w14:paraId="1A3EAE8D">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1.   招标文件由招标文件目录所列内容及相关资料组成。</w:t>
      </w:r>
    </w:p>
    <w:p w14:paraId="57AC0628">
      <w:pPr>
        <w:spacing w:line="440" w:lineRule="exact"/>
        <w:rPr>
          <w:rFonts w:ascii="宋体" w:hAnsi="宋体" w:cs="宋体"/>
          <w:b/>
          <w:bCs/>
          <w:color w:val="auto"/>
          <w:sz w:val="22"/>
          <w:szCs w:val="22"/>
          <w:highlight w:val="none"/>
        </w:rPr>
      </w:pPr>
      <w:r>
        <w:rPr>
          <w:rFonts w:hint="eastAsia" w:ascii="宋体" w:hAnsi="宋体" w:cs="宋体"/>
          <w:bCs/>
          <w:color w:val="auto"/>
          <w:sz w:val="22"/>
          <w:szCs w:val="22"/>
          <w:highlight w:val="none"/>
        </w:rPr>
        <w:t xml:space="preserve">2.   </w:t>
      </w:r>
      <w:r>
        <w:rPr>
          <w:rFonts w:hint="eastAsia" w:ascii="宋体" w:hAnsi="宋体" w:cs="宋体"/>
          <w:b/>
          <w:bCs/>
          <w:color w:val="auto"/>
          <w:sz w:val="22"/>
          <w:szCs w:val="22"/>
          <w:highlight w:val="none"/>
        </w:rPr>
        <w:t>招标文件的澄清或者修改</w:t>
      </w:r>
    </w:p>
    <w:p w14:paraId="0C09E767">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2.1  采购人或者采购代理机构可以对已发出的招标文件进行必要的澄清或者修改。澄清或者修改应当在原公告发布媒体上发布澄清公告。澄清或者修改的内容为招标文件的组成部分。</w:t>
      </w:r>
    </w:p>
    <w:p w14:paraId="1F744160">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2.2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潜在投标人在收到该书面通知后，应立即书面回复确认已收到该通知。</w:t>
      </w:r>
    </w:p>
    <w:p w14:paraId="1D51C8F3">
      <w:pPr>
        <w:pStyle w:val="3"/>
        <w:spacing w:line="680" w:lineRule="exact"/>
        <w:ind w:firstLine="420"/>
        <w:jc w:val="center"/>
        <w:rPr>
          <w:rFonts w:ascii="宋体" w:hAnsi="宋体" w:eastAsia="宋体" w:cs="宋体"/>
          <w:color w:val="auto"/>
          <w:sz w:val="28"/>
          <w:szCs w:val="28"/>
          <w:highlight w:val="none"/>
        </w:rPr>
      </w:pPr>
      <w:bookmarkStart w:id="34" w:name="_Toc230773777"/>
      <w:bookmarkStart w:id="35" w:name="_Toc24391"/>
      <w:r>
        <w:rPr>
          <w:rFonts w:hint="eastAsia" w:ascii="宋体" w:hAnsi="宋体" w:eastAsia="宋体" w:cs="宋体"/>
          <w:color w:val="auto"/>
          <w:sz w:val="28"/>
          <w:szCs w:val="28"/>
          <w:highlight w:val="none"/>
        </w:rPr>
        <w:t>三、 投标文件的编制</w:t>
      </w:r>
      <w:bookmarkEnd w:id="34"/>
      <w:bookmarkEnd w:id="35"/>
    </w:p>
    <w:p w14:paraId="4D398910">
      <w:pPr>
        <w:spacing w:line="440" w:lineRule="exact"/>
        <w:ind w:left="550" w:hanging="550" w:hangingChars="250"/>
        <w:rPr>
          <w:rFonts w:ascii="宋体" w:hAnsi="宋体" w:cs="宋体"/>
          <w:b/>
          <w:color w:val="auto"/>
          <w:sz w:val="22"/>
          <w:szCs w:val="22"/>
          <w:highlight w:val="none"/>
        </w:rPr>
      </w:pPr>
      <w:r>
        <w:rPr>
          <w:rFonts w:hint="eastAsia" w:ascii="宋体" w:hAnsi="宋体" w:cs="宋体"/>
          <w:color w:val="auto"/>
          <w:sz w:val="22"/>
          <w:szCs w:val="22"/>
          <w:highlight w:val="none"/>
        </w:rPr>
        <w:t>1.   投标人应认真阅读招标文件中所有事项、格式、条款和技术规范等。</w:t>
      </w:r>
      <w:r>
        <w:rPr>
          <w:rFonts w:hint="eastAsia" w:ascii="宋体" w:hAnsi="宋体" w:cs="宋体"/>
          <w:b/>
          <w:color w:val="auto"/>
          <w:sz w:val="22"/>
          <w:szCs w:val="22"/>
          <w:highlight w:val="none"/>
        </w:rPr>
        <w:t>投标人没有按照招标文件要求提交全部资料，或者没有对招标文件各个方面做出实质性响应，导致投标被拒绝的风险由投标人自行承担。</w:t>
      </w:r>
    </w:p>
    <w:p w14:paraId="352500C1">
      <w:pPr>
        <w:spacing w:line="440" w:lineRule="exact"/>
        <w:ind w:left="550" w:hanging="550" w:hangingChars="250"/>
        <w:rPr>
          <w:rFonts w:ascii="宋体" w:hAnsi="宋体" w:cs="宋体"/>
          <w:b/>
          <w:color w:val="auto"/>
          <w:sz w:val="22"/>
          <w:szCs w:val="22"/>
          <w:highlight w:val="none"/>
        </w:rPr>
      </w:pPr>
      <w:r>
        <w:rPr>
          <w:rFonts w:hint="eastAsia" w:ascii="宋体" w:hAnsi="宋体" w:cs="宋体"/>
          <w:color w:val="auto"/>
          <w:sz w:val="22"/>
          <w:szCs w:val="22"/>
          <w:highlight w:val="none"/>
        </w:rPr>
        <w:t>2. ▲</w:t>
      </w:r>
      <w:r>
        <w:rPr>
          <w:rFonts w:hint="eastAsia" w:ascii="宋体" w:hAnsi="宋体" w:cs="宋体"/>
          <w:b/>
          <w:color w:val="auto"/>
          <w:sz w:val="22"/>
          <w:szCs w:val="22"/>
          <w:highlight w:val="none"/>
          <w:u w:val="single"/>
        </w:rPr>
        <w:t>投标人应保证所提供文件资料的真实性，所有文件资料必须是针对本次投标的。如发现投标人提供了虚假文件资料，其投标将被拒绝，并自行承担相应的法律责任</w:t>
      </w:r>
      <w:r>
        <w:rPr>
          <w:rFonts w:hint="eastAsia" w:ascii="宋体" w:hAnsi="宋体" w:cs="宋体"/>
          <w:b/>
          <w:color w:val="auto"/>
          <w:sz w:val="22"/>
          <w:szCs w:val="22"/>
          <w:highlight w:val="none"/>
        </w:rPr>
        <w:t>。</w:t>
      </w:r>
    </w:p>
    <w:p w14:paraId="4009B674">
      <w:pPr>
        <w:spacing w:line="440" w:lineRule="exact"/>
        <w:ind w:left="550" w:hanging="550" w:hangingChars="250"/>
        <w:rPr>
          <w:rFonts w:ascii="宋体" w:hAnsi="宋体"/>
          <w:b/>
          <w:bCs/>
          <w:color w:val="auto"/>
          <w:sz w:val="22"/>
          <w:szCs w:val="22"/>
          <w:highlight w:val="none"/>
        </w:rPr>
      </w:pPr>
      <w:r>
        <w:rPr>
          <w:rFonts w:hint="eastAsia" w:ascii="宋体" w:hAnsi="宋体"/>
          <w:color w:val="auto"/>
          <w:sz w:val="22"/>
          <w:szCs w:val="22"/>
          <w:highlight w:val="none"/>
        </w:rPr>
        <w:t xml:space="preserve">3.   </w:t>
      </w:r>
      <w:r>
        <w:rPr>
          <w:rFonts w:hint="eastAsia" w:ascii="宋体" w:hAnsi="宋体"/>
          <w:b/>
          <w:bCs/>
          <w:color w:val="auto"/>
          <w:sz w:val="22"/>
          <w:szCs w:val="22"/>
          <w:highlight w:val="none"/>
        </w:rPr>
        <w:t>投标文件分为电子投标文件以及备份投标文件。</w:t>
      </w:r>
    </w:p>
    <w:p w14:paraId="09A50BF6">
      <w:pPr>
        <w:spacing w:line="440" w:lineRule="exact"/>
        <w:ind w:left="550" w:hanging="550" w:hangingChars="250"/>
        <w:rPr>
          <w:rFonts w:ascii="宋体" w:hAnsi="宋体"/>
          <w:b/>
          <w:bCs/>
          <w:color w:val="auto"/>
          <w:sz w:val="22"/>
          <w:szCs w:val="22"/>
          <w:highlight w:val="none"/>
          <w:u w:val="single"/>
        </w:rPr>
      </w:pPr>
      <w:r>
        <w:rPr>
          <w:rFonts w:hint="eastAsia" w:ascii="宋体" w:hAnsi="宋体"/>
          <w:color w:val="auto"/>
          <w:sz w:val="22"/>
          <w:szCs w:val="22"/>
          <w:highlight w:val="none"/>
        </w:rPr>
        <w:t xml:space="preserve">3.1 </w:t>
      </w:r>
      <w:r>
        <w:rPr>
          <w:rFonts w:hint="eastAsia" w:ascii="宋体" w:hAnsi="宋体"/>
          <w:b/>
          <w:bCs/>
          <w:color w:val="auto"/>
          <w:sz w:val="22"/>
          <w:szCs w:val="22"/>
          <w:highlight w:val="none"/>
          <w:u w:val="single"/>
        </w:rPr>
        <w:t>电子投标文件：投标人根据“政采云供应商项目采购-电子招投标操作指南”及本招标文件规定的格式和顺序编制电子投标文件关联定位、加密并递交。</w:t>
      </w:r>
    </w:p>
    <w:p w14:paraId="4F98C9AF">
      <w:pPr>
        <w:spacing w:line="440" w:lineRule="exact"/>
        <w:ind w:left="552" w:hanging="552" w:hangingChars="250"/>
        <w:rPr>
          <w:rFonts w:ascii="宋体" w:hAnsi="宋体"/>
          <w:b/>
          <w:bCs/>
          <w:color w:val="auto"/>
          <w:sz w:val="22"/>
          <w:szCs w:val="22"/>
          <w:highlight w:val="none"/>
          <w:u w:val="single"/>
        </w:rPr>
      </w:pPr>
      <w:r>
        <w:rPr>
          <w:rFonts w:hint="eastAsia" w:ascii="宋体" w:hAnsi="宋体"/>
          <w:b/>
          <w:bCs/>
          <w:color w:val="auto"/>
          <w:sz w:val="22"/>
          <w:szCs w:val="22"/>
          <w:highlight w:val="none"/>
        </w:rPr>
        <w:t xml:space="preserve">3.2  </w:t>
      </w:r>
      <w:r>
        <w:rPr>
          <w:rFonts w:hint="eastAsia" w:ascii="宋体" w:hAnsi="宋体"/>
          <w:b/>
          <w:bCs/>
          <w:color w:val="auto"/>
          <w:sz w:val="22"/>
          <w:szCs w:val="22"/>
          <w:highlight w:val="none"/>
          <w:u w:val="single"/>
        </w:rPr>
        <w:t>备份投标文件：投标人</w:t>
      </w:r>
      <w:r>
        <w:rPr>
          <w:rFonts w:ascii="宋体" w:hAnsi="宋体"/>
          <w:b/>
          <w:bCs/>
          <w:color w:val="auto"/>
          <w:sz w:val="22"/>
          <w:szCs w:val="22"/>
          <w:highlight w:val="none"/>
          <w:u w:val="single"/>
        </w:rPr>
        <w:t>在</w:t>
      </w:r>
      <w:r>
        <w:rPr>
          <w:rFonts w:hint="eastAsia" w:ascii="宋体" w:hAnsi="宋体"/>
          <w:b/>
          <w:bCs/>
          <w:color w:val="auto"/>
          <w:sz w:val="22"/>
          <w:szCs w:val="22"/>
          <w:highlight w:val="none"/>
          <w:u w:val="single"/>
        </w:rPr>
        <w:t>政采云</w:t>
      </w:r>
      <w:r>
        <w:rPr>
          <w:rFonts w:ascii="宋体" w:hAnsi="宋体"/>
          <w:b/>
          <w:bCs/>
          <w:color w:val="auto"/>
          <w:sz w:val="22"/>
          <w:szCs w:val="22"/>
          <w:highlight w:val="none"/>
          <w:u w:val="single"/>
        </w:rPr>
        <w:t>平台传输递交投标文件后，还可以在投标截止时间前提交以介质存储的数据电文形式的备份投标文件。</w:t>
      </w:r>
      <w:r>
        <w:rPr>
          <w:rFonts w:hint="eastAsia" w:ascii="宋体" w:hAnsi="宋体"/>
          <w:b/>
          <w:bCs/>
          <w:color w:val="auto"/>
          <w:sz w:val="22"/>
          <w:szCs w:val="22"/>
          <w:highlight w:val="none"/>
          <w:u w:val="single"/>
        </w:rPr>
        <w:t>电子投标文件按“政采云平台项目采购-电子招投标操作指南”上传。</w:t>
      </w:r>
    </w:p>
    <w:p w14:paraId="142724E3">
      <w:pPr>
        <w:spacing w:line="440" w:lineRule="exact"/>
        <w:ind w:left="552" w:hanging="552" w:hangingChars="250"/>
        <w:rPr>
          <w:rFonts w:ascii="宋体" w:hAnsi="宋体"/>
          <w:b/>
          <w:color w:val="auto"/>
          <w:sz w:val="22"/>
          <w:szCs w:val="22"/>
          <w:highlight w:val="none"/>
        </w:rPr>
      </w:pPr>
      <w:r>
        <w:rPr>
          <w:rFonts w:hint="eastAsia" w:ascii="宋体" w:hAnsi="宋体"/>
          <w:b/>
          <w:color w:val="auto"/>
          <w:sz w:val="22"/>
          <w:szCs w:val="22"/>
          <w:highlight w:val="none"/>
        </w:rPr>
        <w:t>4.   投标文件的效力</w:t>
      </w:r>
    </w:p>
    <w:p w14:paraId="08267460">
      <w:pPr>
        <w:spacing w:line="440" w:lineRule="exact"/>
        <w:ind w:left="533" w:leftChars="254"/>
        <w:rPr>
          <w:rFonts w:ascii="宋体" w:hAnsi="宋体"/>
          <w:color w:val="auto"/>
          <w:sz w:val="22"/>
          <w:szCs w:val="22"/>
          <w:highlight w:val="none"/>
        </w:rPr>
      </w:pPr>
      <w:r>
        <w:rPr>
          <w:rFonts w:hint="eastAsia" w:ascii="宋体" w:hAnsi="宋体"/>
          <w:color w:val="auto"/>
          <w:sz w:val="22"/>
          <w:szCs w:val="22"/>
          <w:highlight w:val="none"/>
        </w:rPr>
        <w:t>投标文件的启用，按先后顺位分别为电子投标文件和备份投标文件。在下一顺位的投标文件启用时，前一顺位的投标文件自动失效。</w:t>
      </w:r>
    </w:p>
    <w:p w14:paraId="46C05152">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5.   </w:t>
      </w:r>
      <w:r>
        <w:rPr>
          <w:rFonts w:hint="eastAsia" w:ascii="宋体" w:hAnsi="宋体" w:cs="宋体"/>
          <w:b/>
          <w:bCs/>
          <w:color w:val="auto"/>
          <w:sz w:val="22"/>
          <w:szCs w:val="22"/>
          <w:highlight w:val="none"/>
        </w:rPr>
        <w:t>投标文件的组成：</w:t>
      </w:r>
    </w:p>
    <w:p w14:paraId="1B7BBB5B">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5.1  投标文件由资格文件、商务技术文件、报价文件三部分组成：</w:t>
      </w:r>
    </w:p>
    <w:p w14:paraId="2973183D">
      <w:pPr>
        <w:spacing w:line="440" w:lineRule="exact"/>
        <w:rPr>
          <w:rFonts w:ascii="宋体" w:hAnsi="宋体" w:cs="宋体"/>
          <w:b/>
          <w:color w:val="auto"/>
          <w:sz w:val="22"/>
          <w:szCs w:val="22"/>
          <w:highlight w:val="none"/>
        </w:rPr>
      </w:pPr>
      <w:r>
        <w:rPr>
          <w:rFonts w:hint="eastAsia" w:ascii="宋体" w:hAnsi="宋体" w:cs="宋体"/>
          <w:color w:val="auto"/>
          <w:sz w:val="22"/>
          <w:szCs w:val="22"/>
          <w:highlight w:val="none"/>
        </w:rPr>
        <w:t>5.1.1</w:t>
      </w:r>
      <w:r>
        <w:rPr>
          <w:rFonts w:hint="eastAsia" w:ascii="宋体" w:hAnsi="宋体" w:cs="宋体"/>
          <w:b/>
          <w:color w:val="auto"/>
          <w:sz w:val="22"/>
          <w:szCs w:val="22"/>
          <w:highlight w:val="none"/>
        </w:rPr>
        <w:t>资格文件</w:t>
      </w:r>
    </w:p>
    <w:tbl>
      <w:tblPr>
        <w:tblStyle w:val="39"/>
        <w:tblW w:w="96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449"/>
        <w:gridCol w:w="1440"/>
      </w:tblGrid>
      <w:tr w14:paraId="7BC65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536B809">
            <w:pPr>
              <w:autoSpaceDE w:val="0"/>
              <w:autoSpaceDN w:val="0"/>
              <w:adjustRightInd w:val="0"/>
              <w:snapToGrid w:val="0"/>
              <w:spacing w:line="430" w:lineRule="atLeast"/>
              <w:rPr>
                <w:rFonts w:ascii="宋体" w:hAnsi="宋体" w:cs="宋体"/>
                <w:b/>
                <w:color w:val="auto"/>
                <w:sz w:val="22"/>
                <w:highlight w:val="none"/>
                <w:lang w:val="zh-CN"/>
              </w:rPr>
            </w:pPr>
            <w:r>
              <w:rPr>
                <w:rFonts w:hint="eastAsia" w:ascii="宋体" w:hAnsi="宋体" w:cs="宋体"/>
                <w:b/>
                <w:color w:val="auto"/>
                <w:sz w:val="22"/>
                <w:highlight w:val="none"/>
                <w:lang w:val="zh-CN"/>
              </w:rPr>
              <w:t>序号</w:t>
            </w:r>
          </w:p>
        </w:tc>
        <w:tc>
          <w:tcPr>
            <w:tcW w:w="7449" w:type="dxa"/>
          </w:tcPr>
          <w:p w14:paraId="0AA2ED45">
            <w:pPr>
              <w:autoSpaceDE w:val="0"/>
              <w:autoSpaceDN w:val="0"/>
              <w:adjustRightInd w:val="0"/>
              <w:snapToGrid w:val="0"/>
              <w:spacing w:line="430" w:lineRule="atLeast"/>
              <w:jc w:val="center"/>
              <w:rPr>
                <w:rFonts w:ascii="宋体" w:hAnsi="宋体" w:cs="宋体"/>
                <w:b/>
                <w:color w:val="auto"/>
                <w:sz w:val="22"/>
                <w:highlight w:val="none"/>
                <w:lang w:val="zh-CN"/>
              </w:rPr>
            </w:pPr>
            <w:r>
              <w:rPr>
                <w:rFonts w:hint="eastAsia" w:ascii="宋体" w:hAnsi="宋体" w:cs="宋体"/>
                <w:b/>
                <w:color w:val="auto"/>
                <w:sz w:val="22"/>
                <w:highlight w:val="none"/>
                <w:lang w:val="zh-CN"/>
              </w:rPr>
              <w:t>内容</w:t>
            </w:r>
          </w:p>
        </w:tc>
        <w:tc>
          <w:tcPr>
            <w:tcW w:w="1440" w:type="dxa"/>
          </w:tcPr>
          <w:p w14:paraId="697D72A8">
            <w:pPr>
              <w:autoSpaceDE w:val="0"/>
              <w:autoSpaceDN w:val="0"/>
              <w:adjustRightInd w:val="0"/>
              <w:snapToGrid w:val="0"/>
              <w:spacing w:line="430" w:lineRule="atLeast"/>
              <w:jc w:val="center"/>
              <w:rPr>
                <w:rFonts w:ascii="宋体" w:hAnsi="宋体" w:cs="宋体"/>
                <w:b/>
                <w:color w:val="auto"/>
                <w:sz w:val="22"/>
                <w:highlight w:val="none"/>
                <w:lang w:val="zh-CN"/>
              </w:rPr>
            </w:pPr>
            <w:r>
              <w:rPr>
                <w:rFonts w:hint="eastAsia" w:ascii="宋体" w:hAnsi="宋体" w:cs="宋体"/>
                <w:b/>
                <w:color w:val="auto"/>
                <w:sz w:val="22"/>
                <w:highlight w:val="none"/>
                <w:lang w:val="zh-CN"/>
              </w:rPr>
              <w:t>说明</w:t>
            </w:r>
          </w:p>
        </w:tc>
      </w:tr>
      <w:tr w14:paraId="28798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040FBA6E">
            <w:pPr>
              <w:autoSpaceDE w:val="0"/>
              <w:autoSpaceDN w:val="0"/>
              <w:adjustRightInd w:val="0"/>
              <w:snapToGrid w:val="0"/>
              <w:spacing w:line="440" w:lineRule="exact"/>
              <w:jc w:val="center"/>
              <w:rPr>
                <w:rFonts w:ascii="宋体" w:hAnsi="宋体" w:cs="宋体"/>
                <w:color w:val="auto"/>
                <w:sz w:val="22"/>
                <w:highlight w:val="none"/>
                <w:lang w:val="zh-CN"/>
              </w:rPr>
            </w:pPr>
            <w:r>
              <w:rPr>
                <w:rFonts w:ascii="宋体" w:hAnsi="宋体" w:cs="宋体"/>
                <w:color w:val="auto"/>
                <w:sz w:val="22"/>
                <w:highlight w:val="none"/>
                <w:lang w:val="zh-CN"/>
              </w:rPr>
              <w:t>1</w:t>
            </w:r>
          </w:p>
        </w:tc>
        <w:tc>
          <w:tcPr>
            <w:tcW w:w="7449" w:type="dxa"/>
          </w:tcPr>
          <w:p w14:paraId="73919A7C">
            <w:pPr>
              <w:autoSpaceDE w:val="0"/>
              <w:autoSpaceDN w:val="0"/>
              <w:adjustRightInd w:val="0"/>
              <w:snapToGrid w:val="0"/>
              <w:spacing w:line="440" w:lineRule="exact"/>
              <w:rPr>
                <w:rFonts w:ascii="宋体" w:hAnsi="宋体" w:cs="宋体"/>
                <w:b/>
                <w:color w:val="auto"/>
                <w:sz w:val="22"/>
                <w:highlight w:val="none"/>
                <w:lang w:val="zh-CN"/>
              </w:rPr>
            </w:pPr>
            <w:r>
              <w:rPr>
                <w:rFonts w:hint="eastAsia" w:ascii="宋体" w:hAnsi="宋体" w:cs="宋体"/>
                <w:color w:val="auto"/>
                <w:sz w:val="22"/>
                <w:szCs w:val="22"/>
                <w:highlight w:val="none"/>
              </w:rPr>
              <w:t>资格证明文件</w:t>
            </w:r>
          </w:p>
        </w:tc>
        <w:tc>
          <w:tcPr>
            <w:tcW w:w="1440" w:type="dxa"/>
          </w:tcPr>
          <w:p w14:paraId="29B54E6E">
            <w:pPr>
              <w:autoSpaceDE w:val="0"/>
              <w:autoSpaceDN w:val="0"/>
              <w:adjustRightInd w:val="0"/>
              <w:snapToGrid w:val="0"/>
              <w:spacing w:line="440" w:lineRule="exact"/>
              <w:jc w:val="center"/>
              <w:rPr>
                <w:rFonts w:ascii="宋体" w:hAnsi="宋体" w:cs="宋体"/>
                <w:b/>
                <w:color w:val="auto"/>
                <w:sz w:val="22"/>
                <w:highlight w:val="none"/>
              </w:rPr>
            </w:pPr>
            <w:r>
              <w:rPr>
                <w:rFonts w:hint="eastAsia" w:ascii="宋体" w:hAnsi="宋体" w:cs="宋体"/>
                <w:color w:val="auto"/>
                <w:sz w:val="22"/>
                <w:szCs w:val="22"/>
                <w:highlight w:val="none"/>
              </w:rPr>
              <w:t>附件四</w:t>
            </w:r>
          </w:p>
        </w:tc>
      </w:tr>
      <w:tr w14:paraId="2887D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582950EF">
            <w:pPr>
              <w:autoSpaceDE w:val="0"/>
              <w:autoSpaceDN w:val="0"/>
              <w:adjustRightInd w:val="0"/>
              <w:snapToGrid w:val="0"/>
              <w:spacing w:line="44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1.</w:t>
            </w:r>
            <w:r>
              <w:rPr>
                <w:rFonts w:ascii="宋体" w:hAnsi="宋体" w:cs="宋体"/>
                <w:color w:val="auto"/>
                <w:sz w:val="22"/>
                <w:highlight w:val="none"/>
                <w:lang w:val="zh-CN"/>
              </w:rPr>
              <w:t>1</w:t>
            </w:r>
          </w:p>
        </w:tc>
        <w:tc>
          <w:tcPr>
            <w:tcW w:w="7449" w:type="dxa"/>
            <w:vAlign w:val="center"/>
          </w:tcPr>
          <w:p w14:paraId="0ADA01DD">
            <w:pPr>
              <w:autoSpaceDE w:val="0"/>
              <w:autoSpaceDN w:val="0"/>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法定代表人身份证明或法定代表人授权书</w:t>
            </w:r>
          </w:p>
        </w:tc>
        <w:tc>
          <w:tcPr>
            <w:tcW w:w="1440" w:type="dxa"/>
          </w:tcPr>
          <w:p w14:paraId="56E88167">
            <w:pPr>
              <w:autoSpaceDE w:val="0"/>
              <w:autoSpaceDN w:val="0"/>
              <w:adjustRightInd w:val="0"/>
              <w:snapToGrid w:val="0"/>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附件四-1、2</w:t>
            </w:r>
          </w:p>
        </w:tc>
      </w:tr>
      <w:tr w14:paraId="6A917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02F2840">
            <w:pPr>
              <w:autoSpaceDE w:val="0"/>
              <w:autoSpaceDN w:val="0"/>
              <w:adjustRightInd w:val="0"/>
              <w:snapToGrid w:val="0"/>
              <w:spacing w:line="440" w:lineRule="exact"/>
              <w:jc w:val="center"/>
              <w:rPr>
                <w:rFonts w:ascii="宋体" w:hAnsi="宋体" w:cs="宋体"/>
                <w:color w:val="auto"/>
                <w:sz w:val="22"/>
                <w:highlight w:val="none"/>
                <w:lang w:val="zh-CN"/>
              </w:rPr>
            </w:pPr>
            <w:r>
              <w:rPr>
                <w:rFonts w:ascii="宋体" w:hAnsi="宋体" w:cs="宋体"/>
                <w:color w:val="auto"/>
                <w:sz w:val="22"/>
                <w:highlight w:val="none"/>
                <w:lang w:val="zh-CN"/>
              </w:rPr>
              <w:t>1</w:t>
            </w:r>
            <w:r>
              <w:rPr>
                <w:rFonts w:hint="eastAsia" w:ascii="宋体" w:hAnsi="宋体" w:cs="宋体"/>
                <w:color w:val="auto"/>
                <w:sz w:val="22"/>
                <w:highlight w:val="none"/>
                <w:lang w:val="zh-CN"/>
              </w:rPr>
              <w:t>.</w:t>
            </w:r>
            <w:r>
              <w:rPr>
                <w:rFonts w:ascii="宋体" w:hAnsi="宋体" w:cs="宋体"/>
                <w:color w:val="auto"/>
                <w:sz w:val="22"/>
                <w:highlight w:val="none"/>
                <w:lang w:val="zh-CN"/>
              </w:rPr>
              <w:t>2</w:t>
            </w:r>
          </w:p>
        </w:tc>
        <w:tc>
          <w:tcPr>
            <w:tcW w:w="7449" w:type="dxa"/>
            <w:vAlign w:val="center"/>
          </w:tcPr>
          <w:p w14:paraId="40B4E00D">
            <w:pPr>
              <w:autoSpaceDE w:val="0"/>
              <w:autoSpaceDN w:val="0"/>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投标人企业法人有效营业执照（或事业法人登记证书或其它工商等登记证明材料，自然人提供身份证)复制件（如为联合体，则联合体各方均应提供）（五选一）</w:t>
            </w:r>
          </w:p>
          <w:p w14:paraId="7919FD0C">
            <w:pPr>
              <w:autoSpaceDE w:val="0"/>
              <w:autoSpaceDN w:val="0"/>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①如投标人是企业（包括合伙企业），提供在工商部门注册的有效“企业法人营业执照”或“营业执照”；</w:t>
            </w:r>
          </w:p>
          <w:p w14:paraId="2B585DD3">
            <w:pPr>
              <w:autoSpaceDE w:val="0"/>
              <w:autoSpaceDN w:val="0"/>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②如投标人是事业单位，提供有效的“事业单位法人证书”；</w:t>
            </w:r>
          </w:p>
          <w:p w14:paraId="4CE71492">
            <w:pPr>
              <w:autoSpaceDE w:val="0"/>
              <w:autoSpaceDN w:val="0"/>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③如投标人是非企业专业服务机构的，提供执业许可证等证明文件；</w:t>
            </w:r>
          </w:p>
          <w:p w14:paraId="473B8288">
            <w:pPr>
              <w:autoSpaceDE w:val="0"/>
              <w:autoSpaceDN w:val="0"/>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④如投标人是个体工商户，提供有效的“个体工商户营业执照”；</w:t>
            </w:r>
          </w:p>
          <w:p w14:paraId="1821CFFF">
            <w:pPr>
              <w:autoSpaceDE w:val="0"/>
              <w:autoSpaceDN w:val="0"/>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⑤如投标人是自然人，提供有效的自然人身份证明（居民身份证正反面或公安机关出具的临时居民身份证正反面或港澳台胞证或护照）。</w:t>
            </w:r>
          </w:p>
          <w:p w14:paraId="3D6A31E1">
            <w:pPr>
              <w:autoSpaceDE w:val="0"/>
              <w:autoSpaceDN w:val="0"/>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tc>
        <w:tc>
          <w:tcPr>
            <w:tcW w:w="1440" w:type="dxa"/>
          </w:tcPr>
          <w:p w14:paraId="74FEE7A0">
            <w:pPr>
              <w:autoSpaceDE w:val="0"/>
              <w:autoSpaceDN w:val="0"/>
              <w:adjustRightInd w:val="0"/>
              <w:snapToGrid w:val="0"/>
              <w:spacing w:line="440" w:lineRule="exact"/>
              <w:jc w:val="center"/>
              <w:rPr>
                <w:rFonts w:ascii="宋体" w:hAnsi="宋体" w:cs="宋体"/>
                <w:color w:val="auto"/>
                <w:sz w:val="22"/>
                <w:szCs w:val="22"/>
                <w:highlight w:val="none"/>
              </w:rPr>
            </w:pPr>
          </w:p>
        </w:tc>
      </w:tr>
      <w:tr w14:paraId="3560A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4AE434AE">
            <w:pPr>
              <w:autoSpaceDE w:val="0"/>
              <w:autoSpaceDN w:val="0"/>
              <w:adjustRightInd w:val="0"/>
              <w:snapToGrid w:val="0"/>
              <w:spacing w:line="440" w:lineRule="exact"/>
              <w:jc w:val="center"/>
              <w:rPr>
                <w:rFonts w:ascii="宋体" w:hAnsi="宋体" w:cs="宋体"/>
                <w:color w:val="auto"/>
                <w:sz w:val="22"/>
                <w:highlight w:val="none"/>
                <w:lang w:val="zh-CN"/>
              </w:rPr>
            </w:pPr>
            <w:r>
              <w:rPr>
                <w:rFonts w:ascii="宋体" w:hAnsi="宋体" w:cs="宋体"/>
                <w:color w:val="auto"/>
                <w:sz w:val="22"/>
                <w:highlight w:val="none"/>
                <w:lang w:val="zh-CN"/>
              </w:rPr>
              <w:t>1</w:t>
            </w:r>
            <w:r>
              <w:rPr>
                <w:rFonts w:hint="eastAsia" w:ascii="宋体" w:hAnsi="宋体" w:cs="宋体"/>
                <w:color w:val="auto"/>
                <w:sz w:val="22"/>
                <w:highlight w:val="none"/>
                <w:lang w:val="zh-CN"/>
              </w:rPr>
              <w:t>.</w:t>
            </w:r>
            <w:r>
              <w:rPr>
                <w:rFonts w:ascii="宋体" w:hAnsi="宋体" w:cs="宋体"/>
                <w:color w:val="auto"/>
                <w:sz w:val="22"/>
                <w:highlight w:val="none"/>
                <w:lang w:val="zh-CN"/>
              </w:rPr>
              <w:t>3</w:t>
            </w:r>
          </w:p>
        </w:tc>
        <w:tc>
          <w:tcPr>
            <w:tcW w:w="7449" w:type="dxa"/>
            <w:vAlign w:val="center"/>
          </w:tcPr>
          <w:p w14:paraId="180F03E2">
            <w:pPr>
              <w:autoSpaceDE w:val="0"/>
              <w:autoSpaceDN w:val="0"/>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符合参加政府采购活动应当具备的一般条件的承诺函</w:t>
            </w:r>
          </w:p>
        </w:tc>
        <w:tc>
          <w:tcPr>
            <w:tcW w:w="1440" w:type="dxa"/>
          </w:tcPr>
          <w:p w14:paraId="1BD40360">
            <w:pPr>
              <w:autoSpaceDE w:val="0"/>
              <w:autoSpaceDN w:val="0"/>
              <w:adjustRightInd w:val="0"/>
              <w:snapToGrid w:val="0"/>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附件四-</w:t>
            </w:r>
            <w:r>
              <w:rPr>
                <w:rFonts w:ascii="宋体" w:hAnsi="宋体" w:cs="宋体"/>
                <w:color w:val="auto"/>
                <w:sz w:val="22"/>
                <w:szCs w:val="22"/>
                <w:highlight w:val="none"/>
              </w:rPr>
              <w:t>3</w:t>
            </w:r>
          </w:p>
        </w:tc>
      </w:tr>
      <w:tr w14:paraId="69AB1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F8A308A">
            <w:pPr>
              <w:autoSpaceDE w:val="0"/>
              <w:autoSpaceDN w:val="0"/>
              <w:adjustRightInd w:val="0"/>
              <w:snapToGrid w:val="0"/>
              <w:spacing w:line="440" w:lineRule="exact"/>
              <w:jc w:val="center"/>
              <w:rPr>
                <w:rFonts w:hint="default" w:ascii="宋体" w:hAnsi="宋体" w:cs="宋体"/>
                <w:color w:val="auto"/>
                <w:sz w:val="22"/>
                <w:highlight w:val="none"/>
                <w:lang w:val="en-US" w:eastAsia="zh-CN"/>
              </w:rPr>
            </w:pPr>
            <w:r>
              <w:rPr>
                <w:rFonts w:hint="eastAsia" w:ascii="宋体" w:hAnsi="宋体" w:cs="宋体"/>
                <w:color w:val="auto"/>
                <w:sz w:val="22"/>
                <w:highlight w:val="none"/>
                <w:lang w:val="en-US" w:eastAsia="zh-CN"/>
              </w:rPr>
              <w:t>1.4</w:t>
            </w:r>
          </w:p>
        </w:tc>
        <w:tc>
          <w:tcPr>
            <w:tcW w:w="7449" w:type="dxa"/>
            <w:vAlign w:val="top"/>
          </w:tcPr>
          <w:p w14:paraId="4411E800">
            <w:pPr>
              <w:autoSpaceDE w:val="0"/>
              <w:autoSpaceDN w:val="0"/>
              <w:adjustRightInd w:val="0"/>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中小企业声明函</w:t>
            </w:r>
          </w:p>
        </w:tc>
        <w:tc>
          <w:tcPr>
            <w:tcW w:w="1440" w:type="dxa"/>
            <w:vAlign w:val="top"/>
          </w:tcPr>
          <w:p w14:paraId="1C683C27">
            <w:pPr>
              <w:autoSpaceDE w:val="0"/>
              <w:autoSpaceDN w:val="0"/>
              <w:adjustRightInd w:val="0"/>
              <w:snapToGrid w:val="0"/>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附件</w:t>
            </w:r>
            <w:r>
              <w:rPr>
                <w:rFonts w:hint="eastAsia" w:ascii="宋体" w:hAnsi="宋体" w:cs="宋体"/>
                <w:color w:val="auto"/>
                <w:sz w:val="22"/>
                <w:szCs w:val="22"/>
                <w:highlight w:val="none"/>
                <w:lang w:val="en-US" w:eastAsia="zh-CN"/>
              </w:rPr>
              <w:t>七</w:t>
            </w:r>
            <w:r>
              <w:rPr>
                <w:rFonts w:hint="eastAsia" w:ascii="宋体" w:hAnsi="宋体" w:cs="宋体"/>
                <w:color w:val="auto"/>
                <w:sz w:val="22"/>
                <w:szCs w:val="22"/>
                <w:highlight w:val="none"/>
              </w:rPr>
              <w:t>-1</w:t>
            </w:r>
          </w:p>
        </w:tc>
      </w:tr>
      <w:tr w14:paraId="34D2A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F2089CB">
            <w:pPr>
              <w:autoSpaceDE w:val="0"/>
              <w:autoSpaceDN w:val="0"/>
              <w:adjustRightInd w:val="0"/>
              <w:snapToGrid w:val="0"/>
              <w:spacing w:line="440" w:lineRule="exact"/>
              <w:jc w:val="center"/>
              <w:rPr>
                <w:rFonts w:hint="eastAsia" w:ascii="宋体" w:hAnsi="宋体" w:cs="宋体"/>
                <w:color w:val="auto"/>
                <w:sz w:val="22"/>
                <w:highlight w:val="none"/>
                <w:lang w:val="en-US" w:eastAsia="zh-CN"/>
              </w:rPr>
            </w:pPr>
            <w:r>
              <w:rPr>
                <w:rFonts w:hint="eastAsia" w:ascii="宋体" w:hAnsi="宋体" w:cs="宋体"/>
                <w:color w:val="auto"/>
                <w:sz w:val="22"/>
                <w:highlight w:val="none"/>
                <w:lang w:val="en-US" w:eastAsia="zh-CN"/>
              </w:rPr>
              <w:t>1.5</w:t>
            </w:r>
          </w:p>
        </w:tc>
        <w:tc>
          <w:tcPr>
            <w:tcW w:w="7449" w:type="dxa"/>
            <w:vAlign w:val="top"/>
          </w:tcPr>
          <w:p w14:paraId="294AA59C">
            <w:pPr>
              <w:autoSpaceDE w:val="0"/>
              <w:autoSpaceDN w:val="0"/>
              <w:adjustRightInd w:val="0"/>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残疾人福利性单位声明函（如为残疾人单位的请根据附件内容提供）</w:t>
            </w:r>
          </w:p>
        </w:tc>
        <w:tc>
          <w:tcPr>
            <w:tcW w:w="1440" w:type="dxa"/>
            <w:vAlign w:val="top"/>
          </w:tcPr>
          <w:p w14:paraId="23F49C6C">
            <w:pPr>
              <w:autoSpaceDE w:val="0"/>
              <w:autoSpaceDN w:val="0"/>
              <w:adjustRightInd w:val="0"/>
              <w:snapToGrid w:val="0"/>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附件</w:t>
            </w:r>
            <w:r>
              <w:rPr>
                <w:rFonts w:hint="eastAsia" w:ascii="宋体" w:hAnsi="宋体" w:cs="宋体"/>
                <w:color w:val="auto"/>
                <w:sz w:val="22"/>
                <w:szCs w:val="22"/>
                <w:highlight w:val="none"/>
                <w:lang w:val="en-US" w:eastAsia="zh-CN"/>
              </w:rPr>
              <w:t>七</w:t>
            </w:r>
            <w:r>
              <w:rPr>
                <w:rFonts w:hint="eastAsia" w:ascii="宋体" w:hAnsi="宋体" w:cs="宋体"/>
                <w:color w:val="auto"/>
                <w:sz w:val="22"/>
                <w:szCs w:val="22"/>
                <w:highlight w:val="none"/>
              </w:rPr>
              <w:t>-1</w:t>
            </w:r>
          </w:p>
        </w:tc>
      </w:tr>
      <w:tr w14:paraId="1A183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E9DD632">
            <w:pPr>
              <w:autoSpaceDE w:val="0"/>
              <w:autoSpaceDN w:val="0"/>
              <w:adjustRightInd w:val="0"/>
              <w:snapToGrid w:val="0"/>
              <w:spacing w:line="440" w:lineRule="exact"/>
              <w:jc w:val="center"/>
              <w:rPr>
                <w:rFonts w:hint="eastAsia" w:ascii="宋体" w:hAnsi="宋体" w:cs="宋体"/>
                <w:color w:val="auto"/>
                <w:sz w:val="22"/>
                <w:highlight w:val="none"/>
                <w:lang w:val="en-US" w:eastAsia="zh-CN"/>
              </w:rPr>
            </w:pPr>
            <w:r>
              <w:rPr>
                <w:rFonts w:hint="eastAsia" w:ascii="宋体" w:hAnsi="宋体" w:cs="宋体"/>
                <w:color w:val="auto"/>
                <w:sz w:val="22"/>
                <w:highlight w:val="none"/>
                <w:lang w:val="en-US" w:eastAsia="zh-CN"/>
              </w:rPr>
              <w:t>1.6</w:t>
            </w:r>
          </w:p>
        </w:tc>
        <w:tc>
          <w:tcPr>
            <w:tcW w:w="7449" w:type="dxa"/>
            <w:vAlign w:val="top"/>
          </w:tcPr>
          <w:p w14:paraId="7374FB9C">
            <w:pPr>
              <w:autoSpaceDE w:val="0"/>
              <w:autoSpaceDN w:val="0"/>
              <w:adjustRightInd w:val="0"/>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监狱企业提供的相关证明材料（如为监狱企业的请根据附件内容提供）</w:t>
            </w:r>
          </w:p>
        </w:tc>
        <w:tc>
          <w:tcPr>
            <w:tcW w:w="1440" w:type="dxa"/>
            <w:vAlign w:val="top"/>
          </w:tcPr>
          <w:p w14:paraId="546E08E7">
            <w:pPr>
              <w:autoSpaceDE w:val="0"/>
              <w:autoSpaceDN w:val="0"/>
              <w:adjustRightInd w:val="0"/>
              <w:snapToGrid w:val="0"/>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附件</w:t>
            </w:r>
            <w:r>
              <w:rPr>
                <w:rFonts w:hint="eastAsia" w:ascii="宋体" w:hAnsi="宋体" w:cs="宋体"/>
                <w:color w:val="auto"/>
                <w:sz w:val="22"/>
                <w:szCs w:val="22"/>
                <w:highlight w:val="none"/>
                <w:lang w:val="en-US" w:eastAsia="zh-CN"/>
              </w:rPr>
              <w:t>七</w:t>
            </w:r>
            <w:r>
              <w:rPr>
                <w:rFonts w:hint="eastAsia" w:ascii="宋体" w:hAnsi="宋体" w:cs="宋体"/>
                <w:color w:val="auto"/>
                <w:sz w:val="22"/>
                <w:szCs w:val="22"/>
                <w:highlight w:val="none"/>
              </w:rPr>
              <w:t>-1</w:t>
            </w:r>
          </w:p>
        </w:tc>
      </w:tr>
      <w:tr w14:paraId="1ADE8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4B19BD33">
            <w:pPr>
              <w:autoSpaceDE w:val="0"/>
              <w:autoSpaceDN w:val="0"/>
              <w:adjustRightInd w:val="0"/>
              <w:snapToGrid w:val="0"/>
              <w:spacing w:line="440" w:lineRule="exact"/>
              <w:jc w:val="center"/>
              <w:rPr>
                <w:rFonts w:hint="eastAsia" w:ascii="宋体" w:hAnsi="宋体" w:eastAsia="宋体" w:cs="宋体"/>
                <w:color w:val="auto"/>
                <w:sz w:val="22"/>
                <w:highlight w:val="none"/>
                <w:lang w:val="zh-CN" w:eastAsia="zh-CN"/>
              </w:rPr>
            </w:pPr>
            <w:r>
              <w:rPr>
                <w:rFonts w:hint="eastAsia" w:ascii="宋体" w:hAnsi="宋体" w:cs="宋体"/>
                <w:color w:val="auto"/>
                <w:sz w:val="22"/>
                <w:highlight w:val="none"/>
                <w:lang w:val="en-US" w:eastAsia="zh-CN"/>
              </w:rPr>
              <w:t>1.7</w:t>
            </w:r>
          </w:p>
        </w:tc>
        <w:tc>
          <w:tcPr>
            <w:tcW w:w="7449" w:type="dxa"/>
            <w:vAlign w:val="center"/>
          </w:tcPr>
          <w:p w14:paraId="2F685D79">
            <w:pPr>
              <w:autoSpaceDE w:val="0"/>
              <w:autoSpaceDN w:val="0"/>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联合体协议书（如为联合体投标，请根据格式提供）</w:t>
            </w:r>
          </w:p>
        </w:tc>
        <w:tc>
          <w:tcPr>
            <w:tcW w:w="1440" w:type="dxa"/>
          </w:tcPr>
          <w:p w14:paraId="29EDADA6">
            <w:pPr>
              <w:autoSpaceDE w:val="0"/>
              <w:autoSpaceDN w:val="0"/>
              <w:adjustRightInd w:val="0"/>
              <w:snapToGrid w:val="0"/>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附件四-4</w:t>
            </w:r>
          </w:p>
        </w:tc>
      </w:tr>
      <w:tr w14:paraId="43A2E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73" w:type="dxa"/>
            <w:vAlign w:val="center"/>
          </w:tcPr>
          <w:p w14:paraId="1D295BF7">
            <w:pPr>
              <w:autoSpaceDE w:val="0"/>
              <w:autoSpaceDN w:val="0"/>
              <w:adjustRightInd w:val="0"/>
              <w:snapToGrid w:val="0"/>
              <w:spacing w:line="440" w:lineRule="exact"/>
              <w:jc w:val="center"/>
              <w:rPr>
                <w:rFonts w:hint="eastAsia" w:ascii="宋体" w:hAnsi="宋体" w:eastAsia="宋体" w:cs="宋体"/>
                <w:color w:val="auto"/>
                <w:sz w:val="22"/>
                <w:highlight w:val="none"/>
                <w:lang w:val="zh-CN" w:eastAsia="zh-CN"/>
              </w:rPr>
            </w:pPr>
            <w:r>
              <w:rPr>
                <w:rFonts w:hint="eastAsia" w:ascii="宋体" w:hAnsi="宋体" w:cs="宋体"/>
                <w:color w:val="auto"/>
                <w:sz w:val="22"/>
                <w:highlight w:val="none"/>
                <w:lang w:val="en-US" w:eastAsia="zh-CN"/>
              </w:rPr>
              <w:t>1.8</w:t>
            </w:r>
          </w:p>
        </w:tc>
        <w:tc>
          <w:tcPr>
            <w:tcW w:w="7449" w:type="dxa"/>
            <w:vAlign w:val="center"/>
          </w:tcPr>
          <w:p w14:paraId="164E05AB">
            <w:pPr>
              <w:autoSpaceDE w:val="0"/>
              <w:autoSpaceDN w:val="0"/>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分包意向协议（如有分包，请根据格式提供）</w:t>
            </w:r>
          </w:p>
        </w:tc>
        <w:tc>
          <w:tcPr>
            <w:tcW w:w="1440" w:type="dxa"/>
          </w:tcPr>
          <w:p w14:paraId="7AB0B978">
            <w:pPr>
              <w:autoSpaceDE w:val="0"/>
              <w:autoSpaceDN w:val="0"/>
              <w:adjustRightInd w:val="0"/>
              <w:snapToGrid w:val="0"/>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附件四-5</w:t>
            </w:r>
          </w:p>
        </w:tc>
      </w:tr>
      <w:tr w14:paraId="55220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62" w:type="dxa"/>
            <w:gridSpan w:val="3"/>
            <w:vAlign w:val="center"/>
          </w:tcPr>
          <w:p w14:paraId="4A37B210">
            <w:pPr>
              <w:autoSpaceDE w:val="0"/>
              <w:autoSpaceDN w:val="0"/>
              <w:adjustRightInd w:val="0"/>
              <w:snapToGrid w:val="0"/>
              <w:spacing w:line="440" w:lineRule="exact"/>
              <w:rPr>
                <w:rFonts w:ascii="宋体" w:hAnsi="宋体" w:cs="宋体"/>
                <w:color w:val="auto"/>
                <w:sz w:val="22"/>
                <w:highlight w:val="none"/>
              </w:rPr>
            </w:pPr>
            <w:r>
              <w:rPr>
                <w:rFonts w:hint="eastAsia" w:ascii="宋体" w:hAnsi="宋体" w:cs="宋体"/>
                <w:color w:val="auto"/>
                <w:sz w:val="22"/>
                <w:highlight w:val="none"/>
              </w:rPr>
              <w:t>说明：</w:t>
            </w:r>
            <w:r>
              <w:rPr>
                <w:rFonts w:hint="eastAsia" w:ascii="宋体" w:hAnsi="宋体" w:cs="宋体"/>
                <w:color w:val="auto"/>
                <w:sz w:val="22"/>
                <w:szCs w:val="22"/>
                <w:highlight w:val="none"/>
              </w:rPr>
              <w:t>以上所需的各种实物照片、证书、证件、证明、执照若系复印件的，须在复印件上加盖投标人有效的单位公章。</w:t>
            </w:r>
          </w:p>
        </w:tc>
      </w:tr>
    </w:tbl>
    <w:p w14:paraId="468EE035">
      <w:pPr>
        <w:spacing w:line="440" w:lineRule="exact"/>
        <w:rPr>
          <w:color w:val="auto"/>
          <w:highlight w:val="none"/>
        </w:rPr>
      </w:pPr>
      <w:r>
        <w:rPr>
          <w:rFonts w:hint="eastAsia" w:ascii="宋体" w:hAnsi="宋体" w:cs="宋体"/>
          <w:b/>
          <w:color w:val="auto"/>
          <w:sz w:val="22"/>
          <w:szCs w:val="22"/>
          <w:highlight w:val="none"/>
        </w:rPr>
        <w:t>5.1.</w:t>
      </w:r>
      <w:r>
        <w:rPr>
          <w:rFonts w:ascii="宋体" w:hAnsi="宋体" w:cs="宋体"/>
          <w:b/>
          <w:color w:val="auto"/>
          <w:sz w:val="22"/>
          <w:szCs w:val="22"/>
          <w:highlight w:val="none"/>
        </w:rPr>
        <w:t>2</w:t>
      </w:r>
      <w:r>
        <w:rPr>
          <w:rFonts w:hint="eastAsia" w:ascii="宋体" w:hAnsi="宋体" w:cs="宋体"/>
          <w:b/>
          <w:color w:val="auto"/>
          <w:sz w:val="22"/>
          <w:szCs w:val="22"/>
          <w:highlight w:val="none"/>
        </w:rPr>
        <w:t>商务技术文件</w:t>
      </w:r>
    </w:p>
    <w:tbl>
      <w:tblPr>
        <w:tblStyle w:val="39"/>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350"/>
        <w:gridCol w:w="1516"/>
      </w:tblGrid>
      <w:tr w14:paraId="34A7E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85ED754">
            <w:pPr>
              <w:autoSpaceDE w:val="0"/>
              <w:autoSpaceDN w:val="0"/>
              <w:adjustRightInd w:val="0"/>
              <w:snapToGrid w:val="0"/>
              <w:spacing w:line="430" w:lineRule="atLeast"/>
              <w:rPr>
                <w:rFonts w:ascii="宋体" w:hAnsi="宋体" w:cs="宋体"/>
                <w:b/>
                <w:color w:val="auto"/>
                <w:sz w:val="22"/>
                <w:highlight w:val="none"/>
                <w:lang w:val="zh-CN"/>
              </w:rPr>
            </w:pPr>
            <w:r>
              <w:rPr>
                <w:rFonts w:hint="eastAsia" w:ascii="宋体" w:hAnsi="宋体" w:cs="宋体"/>
                <w:b/>
                <w:color w:val="auto"/>
                <w:sz w:val="22"/>
                <w:highlight w:val="none"/>
                <w:lang w:val="zh-CN"/>
              </w:rPr>
              <w:t>序号</w:t>
            </w:r>
          </w:p>
        </w:tc>
        <w:tc>
          <w:tcPr>
            <w:tcW w:w="7350" w:type="dxa"/>
          </w:tcPr>
          <w:p w14:paraId="65422E62">
            <w:pPr>
              <w:autoSpaceDE w:val="0"/>
              <w:autoSpaceDN w:val="0"/>
              <w:adjustRightInd w:val="0"/>
              <w:snapToGrid w:val="0"/>
              <w:spacing w:line="430" w:lineRule="atLeast"/>
              <w:jc w:val="center"/>
              <w:rPr>
                <w:rFonts w:ascii="宋体" w:hAnsi="宋体" w:cs="宋体"/>
                <w:b/>
                <w:color w:val="auto"/>
                <w:sz w:val="22"/>
                <w:highlight w:val="none"/>
                <w:lang w:val="zh-CN"/>
              </w:rPr>
            </w:pPr>
            <w:r>
              <w:rPr>
                <w:rFonts w:hint="eastAsia" w:ascii="宋体" w:hAnsi="宋体" w:cs="宋体"/>
                <w:b/>
                <w:color w:val="auto"/>
                <w:sz w:val="22"/>
                <w:highlight w:val="none"/>
                <w:lang w:val="zh-CN"/>
              </w:rPr>
              <w:t>内容</w:t>
            </w:r>
          </w:p>
        </w:tc>
        <w:tc>
          <w:tcPr>
            <w:tcW w:w="1516" w:type="dxa"/>
          </w:tcPr>
          <w:p w14:paraId="4F0BA3B7">
            <w:pPr>
              <w:autoSpaceDE w:val="0"/>
              <w:autoSpaceDN w:val="0"/>
              <w:adjustRightInd w:val="0"/>
              <w:snapToGrid w:val="0"/>
              <w:spacing w:line="430" w:lineRule="atLeast"/>
              <w:jc w:val="center"/>
              <w:rPr>
                <w:rFonts w:ascii="宋体" w:hAnsi="宋体" w:cs="宋体"/>
                <w:b/>
                <w:color w:val="auto"/>
                <w:sz w:val="22"/>
                <w:highlight w:val="none"/>
                <w:lang w:val="zh-CN"/>
              </w:rPr>
            </w:pPr>
            <w:r>
              <w:rPr>
                <w:rFonts w:hint="eastAsia" w:ascii="宋体" w:hAnsi="宋体" w:cs="宋体"/>
                <w:b/>
                <w:color w:val="auto"/>
                <w:sz w:val="22"/>
                <w:highlight w:val="none"/>
                <w:lang w:val="zh-CN"/>
              </w:rPr>
              <w:t>说明</w:t>
            </w:r>
          </w:p>
        </w:tc>
      </w:tr>
      <w:tr w14:paraId="03D4B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8C27C05">
            <w:pPr>
              <w:autoSpaceDE w:val="0"/>
              <w:autoSpaceDN w:val="0"/>
              <w:adjustRightInd w:val="0"/>
              <w:snapToGrid w:val="0"/>
              <w:spacing w:line="430" w:lineRule="atLeast"/>
              <w:jc w:val="center"/>
              <w:rPr>
                <w:rFonts w:ascii="宋体" w:hAnsi="宋体" w:cs="宋体"/>
                <w:bCs/>
                <w:color w:val="auto"/>
                <w:sz w:val="22"/>
                <w:highlight w:val="none"/>
              </w:rPr>
            </w:pPr>
            <w:r>
              <w:rPr>
                <w:rFonts w:hint="eastAsia" w:ascii="宋体" w:hAnsi="宋体" w:cs="宋体"/>
                <w:bCs/>
                <w:color w:val="auto"/>
                <w:sz w:val="22"/>
                <w:highlight w:val="none"/>
              </w:rPr>
              <w:t>1</w:t>
            </w:r>
          </w:p>
        </w:tc>
        <w:tc>
          <w:tcPr>
            <w:tcW w:w="7350" w:type="dxa"/>
          </w:tcPr>
          <w:p w14:paraId="61E56E72">
            <w:pPr>
              <w:autoSpaceDE w:val="0"/>
              <w:autoSpaceDN w:val="0"/>
              <w:adjustRightInd w:val="0"/>
              <w:snapToGrid w:val="0"/>
              <w:spacing w:line="430" w:lineRule="atLeast"/>
              <w:rPr>
                <w:rFonts w:ascii="宋体" w:hAnsi="宋体" w:cs="宋体"/>
                <w:bCs/>
                <w:color w:val="auto"/>
                <w:sz w:val="22"/>
                <w:highlight w:val="none"/>
              </w:rPr>
            </w:pPr>
            <w:r>
              <w:rPr>
                <w:rFonts w:hint="eastAsia" w:ascii="宋体" w:hAnsi="宋体" w:cs="宋体"/>
                <w:bCs/>
                <w:color w:val="auto"/>
                <w:sz w:val="22"/>
                <w:highlight w:val="none"/>
              </w:rPr>
              <w:t>投标函</w:t>
            </w:r>
          </w:p>
        </w:tc>
        <w:tc>
          <w:tcPr>
            <w:tcW w:w="1516" w:type="dxa"/>
          </w:tcPr>
          <w:p w14:paraId="5EF15AEF">
            <w:pPr>
              <w:autoSpaceDE w:val="0"/>
              <w:autoSpaceDN w:val="0"/>
              <w:adjustRightInd w:val="0"/>
              <w:snapToGrid w:val="0"/>
              <w:spacing w:line="430" w:lineRule="atLeast"/>
              <w:jc w:val="center"/>
              <w:rPr>
                <w:rFonts w:ascii="宋体" w:hAnsi="宋体" w:cs="宋体"/>
                <w:bCs/>
                <w:color w:val="auto"/>
                <w:sz w:val="22"/>
                <w:highlight w:val="none"/>
              </w:rPr>
            </w:pPr>
            <w:r>
              <w:rPr>
                <w:rFonts w:hint="eastAsia" w:ascii="宋体" w:hAnsi="宋体" w:cs="宋体"/>
                <w:bCs/>
                <w:color w:val="auto"/>
                <w:sz w:val="22"/>
                <w:highlight w:val="none"/>
              </w:rPr>
              <w:t>附件一</w:t>
            </w:r>
          </w:p>
        </w:tc>
      </w:tr>
      <w:tr w14:paraId="5C66F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C024655">
            <w:pPr>
              <w:autoSpaceDE w:val="0"/>
              <w:autoSpaceDN w:val="0"/>
              <w:adjustRightInd w:val="0"/>
              <w:snapToGrid w:val="0"/>
              <w:spacing w:line="440" w:lineRule="exact"/>
              <w:jc w:val="center"/>
              <w:rPr>
                <w:rFonts w:ascii="宋体" w:hAnsi="宋体" w:cs="宋体"/>
                <w:color w:val="auto"/>
                <w:sz w:val="22"/>
                <w:highlight w:val="none"/>
              </w:rPr>
            </w:pPr>
            <w:r>
              <w:rPr>
                <w:rFonts w:hint="eastAsia" w:ascii="宋体" w:hAnsi="宋体" w:cs="宋体"/>
                <w:color w:val="auto"/>
                <w:sz w:val="22"/>
                <w:highlight w:val="none"/>
              </w:rPr>
              <w:t>2</w:t>
            </w:r>
          </w:p>
        </w:tc>
        <w:tc>
          <w:tcPr>
            <w:tcW w:w="7350" w:type="dxa"/>
          </w:tcPr>
          <w:p w14:paraId="0DE8CF45">
            <w:pPr>
              <w:autoSpaceDE w:val="0"/>
              <w:autoSpaceDN w:val="0"/>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商务条款、技术规格偏离表</w:t>
            </w:r>
          </w:p>
        </w:tc>
        <w:tc>
          <w:tcPr>
            <w:tcW w:w="1516" w:type="dxa"/>
          </w:tcPr>
          <w:p w14:paraId="04CD0A10">
            <w:pPr>
              <w:autoSpaceDE w:val="0"/>
              <w:autoSpaceDN w:val="0"/>
              <w:adjustRightInd w:val="0"/>
              <w:snapToGrid w:val="0"/>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附件五</w:t>
            </w:r>
          </w:p>
        </w:tc>
      </w:tr>
      <w:tr w14:paraId="6C563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56EDC9DF">
            <w:pPr>
              <w:autoSpaceDE w:val="0"/>
              <w:autoSpaceDN w:val="0"/>
              <w:adjustRightInd w:val="0"/>
              <w:snapToGrid w:val="0"/>
              <w:spacing w:line="440" w:lineRule="exact"/>
              <w:jc w:val="center"/>
              <w:rPr>
                <w:rFonts w:hint="eastAsia" w:ascii="宋体" w:hAnsi="宋体" w:eastAsia="宋体" w:cs="宋体"/>
                <w:color w:val="auto"/>
                <w:sz w:val="22"/>
                <w:highlight w:val="none"/>
                <w:lang w:val="zh-CN" w:eastAsia="zh-CN"/>
              </w:rPr>
            </w:pPr>
            <w:r>
              <w:rPr>
                <w:rFonts w:hint="eastAsia" w:ascii="宋体" w:hAnsi="宋体" w:cs="宋体"/>
                <w:color w:val="auto"/>
                <w:sz w:val="22"/>
                <w:highlight w:val="none"/>
                <w:lang w:val="en-US" w:eastAsia="zh-CN"/>
              </w:rPr>
              <w:t>3</w:t>
            </w:r>
          </w:p>
        </w:tc>
        <w:tc>
          <w:tcPr>
            <w:tcW w:w="7350" w:type="dxa"/>
          </w:tcPr>
          <w:p w14:paraId="30E353EA">
            <w:pPr>
              <w:autoSpaceDE w:val="0"/>
              <w:autoSpaceDN w:val="0"/>
              <w:adjustRightInd w:val="0"/>
              <w:snapToGrid w:val="0"/>
              <w:spacing w:line="440" w:lineRule="exact"/>
              <w:rPr>
                <w:rFonts w:ascii="宋体" w:hAnsi="宋体" w:cs="宋体"/>
                <w:color w:val="auto"/>
                <w:sz w:val="22"/>
                <w:szCs w:val="22"/>
                <w:highlight w:val="none"/>
              </w:rPr>
            </w:pPr>
            <w:r>
              <w:rPr>
                <w:rFonts w:hint="eastAsia" w:hAnsi="宋体"/>
                <w:color w:val="auto"/>
                <w:sz w:val="22"/>
                <w:szCs w:val="22"/>
                <w:highlight w:val="none"/>
              </w:rPr>
              <w:t>同类项目业绩一览表</w:t>
            </w:r>
          </w:p>
        </w:tc>
        <w:tc>
          <w:tcPr>
            <w:tcW w:w="1516" w:type="dxa"/>
            <w:vAlign w:val="center"/>
          </w:tcPr>
          <w:p w14:paraId="24C40728">
            <w:pPr>
              <w:autoSpaceDE w:val="0"/>
              <w:autoSpaceDN w:val="0"/>
              <w:adjustRightInd w:val="0"/>
              <w:snapToGrid w:val="0"/>
              <w:spacing w:line="44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附件</w:t>
            </w:r>
            <w:r>
              <w:rPr>
                <w:rFonts w:hint="eastAsia" w:ascii="宋体" w:hAnsi="宋体" w:cs="宋体"/>
                <w:color w:val="auto"/>
                <w:sz w:val="22"/>
                <w:szCs w:val="22"/>
                <w:highlight w:val="none"/>
                <w:lang w:val="en-US" w:eastAsia="zh-CN"/>
              </w:rPr>
              <w:t>六</w:t>
            </w:r>
          </w:p>
        </w:tc>
      </w:tr>
      <w:tr w14:paraId="217E9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3A8E125C">
            <w:pPr>
              <w:autoSpaceDE w:val="0"/>
              <w:autoSpaceDN w:val="0"/>
              <w:adjustRightInd w:val="0"/>
              <w:snapToGrid w:val="0"/>
              <w:spacing w:line="440" w:lineRule="exact"/>
              <w:jc w:val="center"/>
              <w:rPr>
                <w:rFonts w:hint="eastAsia" w:ascii="宋体" w:hAnsi="宋体" w:eastAsia="宋体" w:cs="宋体"/>
                <w:color w:val="auto"/>
                <w:sz w:val="22"/>
                <w:highlight w:val="none"/>
                <w:lang w:eastAsia="zh-CN"/>
              </w:rPr>
            </w:pPr>
            <w:r>
              <w:rPr>
                <w:rFonts w:hint="eastAsia" w:ascii="宋体" w:hAnsi="宋体" w:cs="宋体"/>
                <w:color w:val="auto"/>
                <w:sz w:val="22"/>
                <w:highlight w:val="none"/>
                <w:lang w:val="en-US" w:eastAsia="zh-CN"/>
              </w:rPr>
              <w:t>4</w:t>
            </w:r>
          </w:p>
        </w:tc>
        <w:tc>
          <w:tcPr>
            <w:tcW w:w="7350" w:type="dxa"/>
            <w:vAlign w:val="center"/>
          </w:tcPr>
          <w:p w14:paraId="5E9C295E">
            <w:pPr>
              <w:autoSpaceDE w:val="0"/>
              <w:autoSpaceDN w:val="0"/>
              <w:adjustRightInd w:val="0"/>
              <w:snapToGrid w:val="0"/>
              <w:spacing w:line="440" w:lineRule="exact"/>
              <w:rPr>
                <w:rFonts w:hAnsi="宋体"/>
                <w:color w:val="auto"/>
                <w:sz w:val="22"/>
                <w:szCs w:val="22"/>
                <w:highlight w:val="none"/>
              </w:rPr>
            </w:pPr>
            <w:r>
              <w:rPr>
                <w:rFonts w:hint="eastAsia" w:ascii="宋体"/>
                <w:color w:val="auto"/>
                <w:sz w:val="22"/>
                <w:szCs w:val="22"/>
                <w:highlight w:val="none"/>
              </w:rPr>
              <w:t>根据招标文件中的采购内容与技术要求、评标细则，需要提供的其它文件和资料。</w:t>
            </w:r>
          </w:p>
        </w:tc>
        <w:tc>
          <w:tcPr>
            <w:tcW w:w="1516" w:type="dxa"/>
          </w:tcPr>
          <w:p w14:paraId="213C1779">
            <w:pPr>
              <w:autoSpaceDE w:val="0"/>
              <w:autoSpaceDN w:val="0"/>
              <w:adjustRightInd w:val="0"/>
              <w:snapToGrid w:val="0"/>
              <w:spacing w:line="440" w:lineRule="exact"/>
              <w:jc w:val="center"/>
              <w:rPr>
                <w:rFonts w:ascii="宋体" w:hAnsi="宋体" w:cs="宋体"/>
                <w:color w:val="auto"/>
                <w:sz w:val="22"/>
                <w:szCs w:val="22"/>
                <w:highlight w:val="none"/>
              </w:rPr>
            </w:pPr>
          </w:p>
        </w:tc>
      </w:tr>
      <w:tr w14:paraId="24C90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9" w:type="dxa"/>
            <w:gridSpan w:val="3"/>
            <w:vAlign w:val="center"/>
          </w:tcPr>
          <w:p w14:paraId="6C08A7A4">
            <w:pPr>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说明：</w:t>
            </w:r>
            <w:r>
              <w:rPr>
                <w:rFonts w:hint="eastAsia" w:ascii="宋体" w:hAnsi="宋体" w:cs="宋体"/>
                <w:color w:val="auto"/>
                <w:sz w:val="22"/>
                <w:szCs w:val="22"/>
                <w:highlight w:val="none"/>
              </w:rPr>
              <w:t>以上所需的各种检测报告、实物照片、证书、证件、证明、执照若系复印件的，须在复印件上加盖投标人有效的单位公章。</w:t>
            </w:r>
          </w:p>
        </w:tc>
      </w:tr>
    </w:tbl>
    <w:p w14:paraId="70D3A62E">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5.1.3</w:t>
      </w:r>
      <w:r>
        <w:rPr>
          <w:rFonts w:hint="eastAsia" w:ascii="宋体" w:hAnsi="宋体" w:cs="宋体"/>
          <w:b/>
          <w:bCs/>
          <w:color w:val="auto"/>
          <w:sz w:val="22"/>
          <w:szCs w:val="22"/>
          <w:highlight w:val="none"/>
        </w:rPr>
        <w:t>报价文件</w:t>
      </w:r>
    </w:p>
    <w:tbl>
      <w:tblPr>
        <w:tblStyle w:val="39"/>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7305"/>
        <w:gridCol w:w="1550"/>
      </w:tblGrid>
      <w:tr w14:paraId="6180C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6D3D7485">
            <w:pPr>
              <w:autoSpaceDE w:val="0"/>
              <w:autoSpaceDN w:val="0"/>
              <w:adjustRightInd w:val="0"/>
              <w:snapToGrid w:val="0"/>
              <w:spacing w:line="430" w:lineRule="atLeast"/>
              <w:jc w:val="center"/>
              <w:rPr>
                <w:rFonts w:ascii="宋体" w:hAnsi="宋体" w:cs="宋体"/>
                <w:b/>
                <w:color w:val="auto"/>
                <w:sz w:val="22"/>
                <w:highlight w:val="none"/>
                <w:lang w:val="zh-CN"/>
              </w:rPr>
            </w:pPr>
            <w:r>
              <w:rPr>
                <w:rFonts w:hint="eastAsia" w:ascii="宋体" w:hAnsi="宋体" w:cs="宋体"/>
                <w:b/>
                <w:color w:val="auto"/>
                <w:sz w:val="22"/>
                <w:highlight w:val="none"/>
                <w:lang w:val="zh-CN"/>
              </w:rPr>
              <w:t>序号</w:t>
            </w:r>
          </w:p>
        </w:tc>
        <w:tc>
          <w:tcPr>
            <w:tcW w:w="7305" w:type="dxa"/>
          </w:tcPr>
          <w:p w14:paraId="251FE6BC">
            <w:pPr>
              <w:autoSpaceDE w:val="0"/>
              <w:autoSpaceDN w:val="0"/>
              <w:adjustRightInd w:val="0"/>
              <w:snapToGrid w:val="0"/>
              <w:spacing w:line="430" w:lineRule="atLeast"/>
              <w:jc w:val="center"/>
              <w:rPr>
                <w:rFonts w:ascii="宋体" w:hAnsi="宋体" w:cs="宋体"/>
                <w:b/>
                <w:color w:val="auto"/>
                <w:sz w:val="22"/>
                <w:highlight w:val="none"/>
                <w:lang w:val="zh-CN"/>
              </w:rPr>
            </w:pPr>
            <w:r>
              <w:rPr>
                <w:rFonts w:hint="eastAsia" w:ascii="宋体" w:hAnsi="宋体" w:cs="宋体"/>
                <w:b/>
                <w:color w:val="auto"/>
                <w:sz w:val="22"/>
                <w:highlight w:val="none"/>
                <w:lang w:val="zh-CN"/>
              </w:rPr>
              <w:t>内容</w:t>
            </w:r>
          </w:p>
        </w:tc>
        <w:tc>
          <w:tcPr>
            <w:tcW w:w="1550" w:type="dxa"/>
          </w:tcPr>
          <w:p w14:paraId="23B2E104">
            <w:pPr>
              <w:autoSpaceDE w:val="0"/>
              <w:autoSpaceDN w:val="0"/>
              <w:adjustRightInd w:val="0"/>
              <w:snapToGrid w:val="0"/>
              <w:spacing w:line="430" w:lineRule="atLeast"/>
              <w:jc w:val="center"/>
              <w:rPr>
                <w:rFonts w:ascii="宋体" w:hAnsi="宋体" w:cs="宋体"/>
                <w:b/>
                <w:color w:val="auto"/>
                <w:sz w:val="22"/>
                <w:highlight w:val="none"/>
                <w:lang w:val="zh-CN"/>
              </w:rPr>
            </w:pPr>
            <w:r>
              <w:rPr>
                <w:rFonts w:hint="eastAsia" w:ascii="宋体" w:hAnsi="宋体" w:cs="宋体"/>
                <w:b/>
                <w:color w:val="auto"/>
                <w:sz w:val="22"/>
                <w:highlight w:val="none"/>
                <w:lang w:val="zh-CN"/>
              </w:rPr>
              <w:t>说明</w:t>
            </w:r>
          </w:p>
        </w:tc>
      </w:tr>
      <w:tr w14:paraId="1005B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29DC1AF7">
            <w:pPr>
              <w:autoSpaceDE w:val="0"/>
              <w:autoSpaceDN w:val="0"/>
              <w:adjustRightInd w:val="0"/>
              <w:snapToGrid w:val="0"/>
              <w:spacing w:line="430" w:lineRule="atLeast"/>
              <w:jc w:val="center"/>
              <w:rPr>
                <w:rFonts w:ascii="宋体" w:hAnsi="宋体" w:cs="宋体"/>
                <w:bCs/>
                <w:color w:val="auto"/>
                <w:sz w:val="22"/>
                <w:highlight w:val="none"/>
                <w:lang w:val="zh-CN"/>
              </w:rPr>
            </w:pPr>
            <w:r>
              <w:rPr>
                <w:rFonts w:hint="eastAsia" w:ascii="宋体" w:hAnsi="宋体" w:cs="宋体"/>
                <w:bCs/>
                <w:color w:val="auto"/>
                <w:sz w:val="22"/>
                <w:highlight w:val="none"/>
                <w:lang w:val="zh-CN"/>
              </w:rPr>
              <w:t>1</w:t>
            </w:r>
          </w:p>
        </w:tc>
        <w:tc>
          <w:tcPr>
            <w:tcW w:w="7305" w:type="dxa"/>
          </w:tcPr>
          <w:p w14:paraId="56CC61A3">
            <w:pPr>
              <w:autoSpaceDE w:val="0"/>
              <w:autoSpaceDN w:val="0"/>
              <w:adjustRightInd w:val="0"/>
              <w:spacing w:line="430" w:lineRule="atLeast"/>
              <w:textAlignment w:val="bottom"/>
              <w:rPr>
                <w:rFonts w:ascii="宋体" w:hAnsi="宋体" w:cs="宋体"/>
                <w:bCs/>
                <w:color w:val="auto"/>
                <w:sz w:val="22"/>
                <w:highlight w:val="none"/>
              </w:rPr>
            </w:pPr>
            <w:r>
              <w:rPr>
                <w:rFonts w:hint="eastAsia" w:ascii="宋体" w:hAnsi="宋体" w:cs="宋体"/>
                <w:bCs/>
                <w:color w:val="auto"/>
                <w:sz w:val="22"/>
                <w:highlight w:val="none"/>
              </w:rPr>
              <w:t>投标报价一览表</w:t>
            </w:r>
          </w:p>
        </w:tc>
        <w:tc>
          <w:tcPr>
            <w:tcW w:w="1550" w:type="dxa"/>
          </w:tcPr>
          <w:p w14:paraId="76F83551">
            <w:pPr>
              <w:autoSpaceDE w:val="0"/>
              <w:autoSpaceDN w:val="0"/>
              <w:adjustRightInd w:val="0"/>
              <w:spacing w:line="430" w:lineRule="atLeast"/>
              <w:jc w:val="center"/>
              <w:textAlignment w:val="bottom"/>
              <w:rPr>
                <w:rFonts w:ascii="宋体" w:hAnsi="宋体" w:cs="宋体"/>
                <w:bCs/>
                <w:color w:val="auto"/>
                <w:sz w:val="22"/>
                <w:highlight w:val="none"/>
              </w:rPr>
            </w:pPr>
            <w:r>
              <w:rPr>
                <w:rFonts w:hint="eastAsia" w:ascii="宋体" w:hAnsi="宋体" w:cs="宋体"/>
                <w:bCs/>
                <w:color w:val="auto"/>
                <w:sz w:val="22"/>
                <w:highlight w:val="none"/>
              </w:rPr>
              <w:t>附件二</w:t>
            </w:r>
          </w:p>
        </w:tc>
      </w:tr>
      <w:tr w14:paraId="303DF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10539E58">
            <w:pPr>
              <w:autoSpaceDE w:val="0"/>
              <w:autoSpaceDN w:val="0"/>
              <w:adjustRightInd w:val="0"/>
              <w:snapToGrid w:val="0"/>
              <w:spacing w:line="430" w:lineRule="atLeast"/>
              <w:jc w:val="center"/>
              <w:rPr>
                <w:rFonts w:ascii="宋体" w:hAnsi="宋体" w:cs="宋体"/>
                <w:bCs/>
                <w:color w:val="auto"/>
                <w:sz w:val="22"/>
                <w:highlight w:val="none"/>
                <w:lang w:val="zh-CN"/>
              </w:rPr>
            </w:pPr>
            <w:r>
              <w:rPr>
                <w:rFonts w:hint="eastAsia" w:ascii="宋体" w:hAnsi="宋体" w:cs="宋体"/>
                <w:bCs/>
                <w:color w:val="auto"/>
                <w:sz w:val="22"/>
                <w:highlight w:val="none"/>
                <w:lang w:val="zh-CN"/>
              </w:rPr>
              <w:t>2</w:t>
            </w:r>
          </w:p>
        </w:tc>
        <w:tc>
          <w:tcPr>
            <w:tcW w:w="7305" w:type="dxa"/>
          </w:tcPr>
          <w:p w14:paraId="45F796DA">
            <w:pPr>
              <w:autoSpaceDE w:val="0"/>
              <w:autoSpaceDN w:val="0"/>
              <w:adjustRightInd w:val="0"/>
              <w:spacing w:line="430" w:lineRule="atLeast"/>
              <w:textAlignment w:val="bottom"/>
              <w:rPr>
                <w:rFonts w:ascii="宋体" w:hAnsi="宋体" w:cs="宋体"/>
                <w:bCs/>
                <w:color w:val="auto"/>
                <w:sz w:val="22"/>
                <w:highlight w:val="none"/>
              </w:rPr>
            </w:pPr>
            <w:r>
              <w:rPr>
                <w:rFonts w:hint="eastAsia" w:ascii="宋体" w:hAnsi="宋体" w:cs="宋体"/>
                <w:bCs/>
                <w:color w:val="auto"/>
                <w:sz w:val="22"/>
                <w:highlight w:val="none"/>
              </w:rPr>
              <w:t>投标分项报价表</w:t>
            </w:r>
          </w:p>
        </w:tc>
        <w:tc>
          <w:tcPr>
            <w:tcW w:w="1550" w:type="dxa"/>
          </w:tcPr>
          <w:p w14:paraId="7531A67E">
            <w:pPr>
              <w:autoSpaceDE w:val="0"/>
              <w:autoSpaceDN w:val="0"/>
              <w:adjustRightInd w:val="0"/>
              <w:spacing w:line="430" w:lineRule="atLeast"/>
              <w:jc w:val="center"/>
              <w:textAlignment w:val="bottom"/>
              <w:rPr>
                <w:rFonts w:ascii="宋体" w:hAnsi="宋体" w:cs="宋体"/>
                <w:bCs/>
                <w:color w:val="auto"/>
                <w:sz w:val="22"/>
                <w:highlight w:val="none"/>
              </w:rPr>
            </w:pPr>
            <w:r>
              <w:rPr>
                <w:rFonts w:hint="eastAsia" w:ascii="宋体" w:hAnsi="宋体" w:cs="宋体"/>
                <w:bCs/>
                <w:color w:val="auto"/>
                <w:sz w:val="22"/>
                <w:highlight w:val="none"/>
              </w:rPr>
              <w:t>附件三</w:t>
            </w:r>
          </w:p>
        </w:tc>
      </w:tr>
    </w:tbl>
    <w:p w14:paraId="4F6B47D7">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5.2  投标文件格式</w:t>
      </w:r>
    </w:p>
    <w:p w14:paraId="58601959">
      <w:pPr>
        <w:spacing w:line="440" w:lineRule="exact"/>
        <w:ind w:left="525" w:leftChars="250"/>
        <w:rPr>
          <w:rFonts w:ascii="宋体" w:hAnsi="宋体" w:cs="宋体"/>
          <w:color w:val="auto"/>
          <w:sz w:val="22"/>
          <w:szCs w:val="22"/>
          <w:highlight w:val="none"/>
        </w:rPr>
      </w:pPr>
      <w:r>
        <w:rPr>
          <w:rFonts w:hint="eastAsia" w:ascii="宋体" w:hAnsi="宋体" w:cs="宋体"/>
          <w:color w:val="auto"/>
          <w:sz w:val="22"/>
          <w:szCs w:val="22"/>
          <w:highlight w:val="none"/>
        </w:rPr>
        <w:t>投标人应根据招标文件中所提供的格式，内容按顺序填写，编写目录和页码，分别写入资格文件、商务技术文件和</w:t>
      </w:r>
      <w:r>
        <w:rPr>
          <w:rFonts w:hint="eastAsia" w:ascii="宋体" w:hAnsi="宋体"/>
          <w:color w:val="auto"/>
          <w:sz w:val="22"/>
          <w:szCs w:val="22"/>
          <w:highlight w:val="none"/>
        </w:rPr>
        <w:t>报价文件中</w:t>
      </w:r>
      <w:r>
        <w:rPr>
          <w:rFonts w:hint="eastAsia" w:ascii="宋体" w:hAnsi="宋体" w:cs="宋体"/>
          <w:color w:val="auto"/>
          <w:sz w:val="22"/>
          <w:szCs w:val="22"/>
          <w:highlight w:val="none"/>
        </w:rPr>
        <w:t>。</w:t>
      </w:r>
    </w:p>
    <w:p w14:paraId="123B387B">
      <w:pPr>
        <w:tabs>
          <w:tab w:val="left" w:pos="-180"/>
          <w:tab w:val="left" w:pos="180"/>
          <w:tab w:val="left" w:pos="360"/>
        </w:tabs>
        <w:spacing w:line="440" w:lineRule="exact"/>
        <w:rPr>
          <w:rFonts w:ascii="宋体" w:hAnsi="宋体" w:cs="宋体"/>
          <w:b/>
          <w:bCs/>
          <w:color w:val="auto"/>
          <w:sz w:val="22"/>
          <w:szCs w:val="22"/>
          <w:highlight w:val="none"/>
          <w:u w:val="single"/>
        </w:rPr>
      </w:pPr>
      <w:r>
        <w:rPr>
          <w:rFonts w:hint="eastAsia" w:ascii="宋体" w:hAnsi="宋体" w:cs="宋体"/>
          <w:bCs/>
          <w:color w:val="auto"/>
          <w:sz w:val="22"/>
          <w:szCs w:val="22"/>
          <w:highlight w:val="none"/>
        </w:rPr>
        <w:t xml:space="preserve">6. </w:t>
      </w:r>
      <w:r>
        <w:rPr>
          <w:rFonts w:hint="eastAsia" w:ascii="宋体" w:hAnsi="宋体" w:cs="宋体"/>
          <w:b/>
          <w:color w:val="auto"/>
          <w:sz w:val="22"/>
          <w:szCs w:val="22"/>
          <w:highlight w:val="none"/>
        </w:rPr>
        <w:t>▲</w:t>
      </w:r>
      <w:r>
        <w:rPr>
          <w:rFonts w:hint="eastAsia" w:ascii="宋体" w:hAnsi="宋体" w:cs="宋体"/>
          <w:b/>
          <w:bCs/>
          <w:color w:val="auto"/>
          <w:sz w:val="22"/>
          <w:szCs w:val="22"/>
          <w:highlight w:val="none"/>
          <w:u w:val="single"/>
        </w:rPr>
        <w:t>投标报价</w:t>
      </w:r>
    </w:p>
    <w:p w14:paraId="15F35B1E">
      <w:pPr>
        <w:tabs>
          <w:tab w:val="left" w:pos="-180"/>
          <w:tab w:val="left" w:pos="180"/>
          <w:tab w:val="left" w:pos="360"/>
        </w:tabs>
        <w:spacing w:line="440" w:lineRule="exact"/>
        <w:ind w:left="550" w:hanging="550" w:hangingChars="250"/>
        <w:rPr>
          <w:rFonts w:hAnsi="宋体" w:cs="宋体"/>
          <w:color w:val="auto"/>
          <w:sz w:val="22"/>
          <w:szCs w:val="22"/>
          <w:highlight w:val="none"/>
        </w:rPr>
      </w:pPr>
      <w:r>
        <w:rPr>
          <w:rFonts w:hint="eastAsia" w:ascii="宋体" w:hAnsi="宋体" w:cs="宋体"/>
          <w:color w:val="auto"/>
          <w:sz w:val="22"/>
          <w:szCs w:val="22"/>
          <w:highlight w:val="none"/>
        </w:rPr>
        <w:t xml:space="preserve">6.1  </w:t>
      </w:r>
      <w:r>
        <w:rPr>
          <w:rFonts w:hint="eastAsia" w:ascii="新宋体" w:hAnsi="新宋体" w:eastAsia="新宋体"/>
          <w:b/>
          <w:bCs/>
          <w:color w:val="auto"/>
          <w:sz w:val="22"/>
          <w:szCs w:val="22"/>
          <w:highlight w:val="none"/>
          <w:u w:val="single"/>
        </w:rPr>
        <w:t>投标报价</w:t>
      </w:r>
      <w:r>
        <w:rPr>
          <w:rFonts w:hint="eastAsia" w:ascii="宋体" w:hAnsi="宋体"/>
          <w:b/>
          <w:color w:val="auto"/>
          <w:sz w:val="22"/>
          <w:szCs w:val="22"/>
          <w:highlight w:val="none"/>
          <w:u w:val="single"/>
        </w:rPr>
        <w:t>是指</w:t>
      </w:r>
      <w:r>
        <w:rPr>
          <w:rFonts w:hint="eastAsia" w:ascii="宋体" w:hAnsi="宋体"/>
          <w:b/>
          <w:color w:val="auto"/>
          <w:sz w:val="22"/>
          <w:szCs w:val="22"/>
          <w:highlight w:val="none"/>
          <w:u w:val="single"/>
          <w:lang w:val="en-US" w:eastAsia="zh-CN"/>
        </w:rPr>
        <w:t>投标人</w:t>
      </w:r>
      <w:r>
        <w:rPr>
          <w:rFonts w:hint="eastAsia" w:ascii="宋体" w:hAnsi="宋体"/>
          <w:b/>
          <w:color w:val="auto"/>
          <w:sz w:val="22"/>
          <w:szCs w:val="22"/>
          <w:highlight w:val="none"/>
          <w:u w:val="single"/>
        </w:rPr>
        <w:t>在正确地完全履行合同义务后采购人应支付给</w:t>
      </w:r>
      <w:r>
        <w:rPr>
          <w:rFonts w:hint="eastAsia" w:ascii="宋体" w:hAnsi="宋体"/>
          <w:b/>
          <w:color w:val="auto"/>
          <w:sz w:val="22"/>
          <w:szCs w:val="22"/>
          <w:highlight w:val="none"/>
          <w:u w:val="single"/>
          <w:lang w:val="en-US" w:eastAsia="zh-CN"/>
        </w:rPr>
        <w:t>投标人</w:t>
      </w:r>
      <w:r>
        <w:rPr>
          <w:rFonts w:hint="eastAsia" w:ascii="宋体" w:hAnsi="宋体"/>
          <w:b/>
          <w:color w:val="auto"/>
          <w:sz w:val="22"/>
          <w:szCs w:val="22"/>
          <w:highlight w:val="none"/>
          <w:u w:val="single"/>
        </w:rPr>
        <w:t>所有的服务价款，即包括</w:t>
      </w:r>
      <w:r>
        <w:rPr>
          <w:rFonts w:hint="eastAsia" w:ascii="宋体" w:hAnsi="宋体"/>
          <w:b/>
          <w:color w:val="auto"/>
          <w:sz w:val="22"/>
          <w:szCs w:val="22"/>
          <w:highlight w:val="none"/>
          <w:u w:val="single"/>
          <w:lang w:val="en-US" w:eastAsia="zh-CN"/>
        </w:rPr>
        <w:t>相关</w:t>
      </w:r>
      <w:r>
        <w:rPr>
          <w:rFonts w:hint="eastAsia" w:ascii="宋体" w:hAnsi="宋体"/>
          <w:b/>
          <w:color w:val="auto"/>
          <w:sz w:val="22"/>
          <w:szCs w:val="22"/>
          <w:highlight w:val="none"/>
          <w:u w:val="single"/>
        </w:rPr>
        <w:t>人员吃、住、行</w:t>
      </w:r>
      <w:r>
        <w:rPr>
          <w:rFonts w:hint="eastAsia" w:ascii="宋体" w:hAnsi="宋体"/>
          <w:b/>
          <w:color w:val="auto"/>
          <w:sz w:val="22"/>
          <w:szCs w:val="22"/>
          <w:highlight w:val="none"/>
          <w:u w:val="single"/>
          <w:lang w:eastAsia="zh-CN"/>
        </w:rPr>
        <w:t>、交通所产生的</w:t>
      </w:r>
      <w:r>
        <w:rPr>
          <w:rFonts w:hint="eastAsia" w:ascii="宋体" w:hAnsi="宋体"/>
          <w:b/>
          <w:color w:val="auto"/>
          <w:sz w:val="22"/>
          <w:szCs w:val="22"/>
          <w:highlight w:val="none"/>
          <w:u w:val="single"/>
          <w:lang w:val="en-US" w:eastAsia="zh-CN"/>
        </w:rPr>
        <w:t>费用</w:t>
      </w:r>
      <w:r>
        <w:rPr>
          <w:rFonts w:hint="eastAsia" w:ascii="宋体" w:hAnsi="宋体"/>
          <w:b/>
          <w:color w:val="auto"/>
          <w:sz w:val="22"/>
          <w:szCs w:val="22"/>
          <w:highlight w:val="none"/>
          <w:u w:val="single"/>
          <w:lang w:eastAsia="zh-CN"/>
        </w:rPr>
        <w:t>、</w:t>
      </w:r>
      <w:r>
        <w:rPr>
          <w:rFonts w:hint="eastAsia" w:ascii="宋体" w:hAnsi="宋体"/>
          <w:b/>
          <w:color w:val="auto"/>
          <w:sz w:val="22"/>
          <w:szCs w:val="22"/>
          <w:highlight w:val="none"/>
          <w:u w:val="single"/>
          <w:lang w:val="en-US" w:eastAsia="zh-CN"/>
        </w:rPr>
        <w:t>揭牌仪式、认证</w:t>
      </w:r>
      <w:r>
        <w:rPr>
          <w:rFonts w:hint="eastAsia" w:ascii="宋体" w:hAnsi="宋体"/>
          <w:b/>
          <w:color w:val="auto"/>
          <w:sz w:val="22"/>
          <w:szCs w:val="22"/>
          <w:highlight w:val="none"/>
          <w:u w:val="single"/>
        </w:rPr>
        <w:t>、</w:t>
      </w:r>
      <w:r>
        <w:rPr>
          <w:rFonts w:hint="eastAsia" w:ascii="宋体" w:hAnsi="宋体"/>
          <w:b/>
          <w:color w:val="auto"/>
          <w:sz w:val="22"/>
          <w:szCs w:val="22"/>
          <w:highlight w:val="none"/>
          <w:u w:val="single"/>
          <w:lang w:val="en-US" w:eastAsia="zh-CN"/>
        </w:rPr>
        <w:t>以及平台服务费等</w:t>
      </w:r>
      <w:r>
        <w:rPr>
          <w:rFonts w:hint="eastAsia" w:ascii="宋体" w:hAnsi="宋体"/>
          <w:b/>
          <w:color w:val="auto"/>
          <w:sz w:val="22"/>
          <w:szCs w:val="22"/>
          <w:highlight w:val="none"/>
          <w:u w:val="single"/>
        </w:rPr>
        <w:t>完成合同所需的一切本身和不可或缺的所有工作开支、政策性文件规定及合同包含的所有风险、责任等各项全部费用并承担一切风险责任，实行固定费用总包干。</w:t>
      </w:r>
      <w:r>
        <w:rPr>
          <w:rFonts w:hint="eastAsia" w:ascii="宋体" w:hAnsi="宋体"/>
          <w:b/>
          <w:color w:val="auto"/>
          <w:sz w:val="22"/>
          <w:szCs w:val="22"/>
          <w:highlight w:val="none"/>
          <w:u w:val="single"/>
          <w:lang w:val="en-US" w:eastAsia="zh-CN"/>
        </w:rPr>
        <w:t>投标人</w:t>
      </w:r>
      <w:r>
        <w:rPr>
          <w:rFonts w:hint="eastAsia" w:ascii="宋体" w:hAnsi="宋体"/>
          <w:b/>
          <w:color w:val="auto"/>
          <w:sz w:val="22"/>
          <w:szCs w:val="22"/>
          <w:highlight w:val="none"/>
          <w:u w:val="single"/>
        </w:rPr>
        <w:t>应根据上述因素自行考虑含入总报价</w:t>
      </w:r>
      <w:r>
        <w:rPr>
          <w:rFonts w:hint="eastAsia" w:ascii="新宋体" w:hAnsi="新宋体" w:eastAsia="新宋体" w:cs="新宋体"/>
          <w:b/>
          <w:color w:val="auto"/>
          <w:sz w:val="22"/>
          <w:highlight w:val="none"/>
          <w:u w:val="none"/>
        </w:rPr>
        <w:t>。</w:t>
      </w:r>
    </w:p>
    <w:p w14:paraId="376E59CD">
      <w:pPr>
        <w:widowControl/>
        <w:tabs>
          <w:tab w:val="left" w:pos="0"/>
          <w:tab w:val="left" w:pos="540"/>
        </w:tabs>
        <w:overflowPunct w:val="0"/>
        <w:autoSpaceDE w:val="0"/>
        <w:autoSpaceDN w:val="0"/>
        <w:adjustRightInd w:val="0"/>
        <w:spacing w:line="440" w:lineRule="exact"/>
        <w:ind w:left="550" w:hanging="550" w:hangingChars="250"/>
        <w:jc w:val="left"/>
        <w:textAlignment w:val="baseline"/>
        <w:rPr>
          <w:rFonts w:ascii="宋体" w:hAnsi="宋体" w:cs="宋体"/>
          <w:color w:val="auto"/>
          <w:sz w:val="22"/>
          <w:szCs w:val="22"/>
          <w:highlight w:val="none"/>
        </w:rPr>
      </w:pPr>
      <w:r>
        <w:rPr>
          <w:rFonts w:hint="eastAsia" w:ascii="宋体" w:hAnsi="宋体" w:cs="宋体"/>
          <w:color w:val="auto"/>
          <w:sz w:val="22"/>
          <w:szCs w:val="22"/>
          <w:highlight w:val="none"/>
        </w:rPr>
        <w:t>6.2  投标人必须按附件中的投标报价一览表、投标分项报价表（均统一格式）内容填写单价、合价和总价，并由法定代表人或投标人代表签署。</w:t>
      </w:r>
    </w:p>
    <w:p w14:paraId="5EE9C384">
      <w:pPr>
        <w:tabs>
          <w:tab w:val="left" w:pos="-180"/>
          <w:tab w:val="left" w:pos="180"/>
          <w:tab w:val="left" w:pos="360"/>
        </w:tabs>
        <w:spacing w:line="440" w:lineRule="exact"/>
        <w:ind w:left="442" w:hanging="442" w:hangingChars="200"/>
        <w:rPr>
          <w:rFonts w:ascii="宋体" w:hAnsi="宋体" w:cs="宋体"/>
          <w:color w:val="auto"/>
          <w:sz w:val="22"/>
          <w:szCs w:val="22"/>
          <w:highlight w:val="none"/>
        </w:rPr>
      </w:pPr>
      <w:r>
        <w:rPr>
          <w:rFonts w:hint="eastAsia" w:ascii="宋体" w:hAnsi="宋体" w:cs="宋体"/>
          <w:b/>
          <w:color w:val="auto"/>
          <w:sz w:val="22"/>
          <w:szCs w:val="22"/>
          <w:highlight w:val="none"/>
        </w:rPr>
        <w:t>6.3▲</w:t>
      </w:r>
      <w:r>
        <w:rPr>
          <w:rFonts w:hint="eastAsia" w:ascii="宋体" w:hAnsi="宋体" w:cs="宋体"/>
          <w:color w:val="auto"/>
          <w:sz w:val="22"/>
          <w:szCs w:val="22"/>
          <w:highlight w:val="none"/>
          <w:u w:val="single"/>
        </w:rPr>
        <w:t>本次投标均以人民币报价，不接受其他货币的报价，投标人如需外汇购入某些货物，须折合成人民币计入投标报价中</w:t>
      </w:r>
      <w:r>
        <w:rPr>
          <w:rFonts w:hint="eastAsia" w:ascii="宋体" w:hAnsi="宋体" w:cs="宋体"/>
          <w:color w:val="auto"/>
          <w:sz w:val="22"/>
          <w:szCs w:val="22"/>
          <w:highlight w:val="none"/>
        </w:rPr>
        <w:t>。</w:t>
      </w:r>
    </w:p>
    <w:p w14:paraId="57513892">
      <w:pPr>
        <w:tabs>
          <w:tab w:val="left" w:pos="-180"/>
          <w:tab w:val="left" w:pos="180"/>
          <w:tab w:val="left" w:pos="360"/>
        </w:tabs>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6.4</w:t>
      </w:r>
      <w:r>
        <w:rPr>
          <w:rFonts w:hint="eastAsia" w:ascii="宋体" w:hAnsi="宋体" w:cs="宋体"/>
          <w:b/>
          <w:color w:val="auto"/>
          <w:sz w:val="22"/>
          <w:szCs w:val="22"/>
          <w:highlight w:val="none"/>
        </w:rPr>
        <w:t>▲</w:t>
      </w:r>
      <w:r>
        <w:rPr>
          <w:rFonts w:hint="eastAsia" w:ascii="宋体" w:hAnsi="宋体" w:cs="宋体"/>
          <w:color w:val="auto"/>
          <w:sz w:val="22"/>
          <w:szCs w:val="22"/>
          <w:highlight w:val="none"/>
          <w:u w:val="single"/>
        </w:rPr>
        <w:t>招标采购单位不接受任何选择报价，对任何货物或服务只允许一个报价</w:t>
      </w:r>
      <w:r>
        <w:rPr>
          <w:rFonts w:hint="eastAsia" w:ascii="宋体" w:hAnsi="宋体" w:cs="宋体"/>
          <w:color w:val="auto"/>
          <w:sz w:val="22"/>
          <w:szCs w:val="22"/>
          <w:highlight w:val="none"/>
        </w:rPr>
        <w:t>。</w:t>
      </w:r>
    </w:p>
    <w:p w14:paraId="59FE80FE">
      <w:pPr>
        <w:tabs>
          <w:tab w:val="left" w:pos="-180"/>
          <w:tab w:val="left" w:pos="180"/>
          <w:tab w:val="left" w:pos="360"/>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6.5  招标采购单位要求分类报价是为了方便评标，但在任何情况下不限制采购人以其认为最合适的条款、条件签订合同的权利。</w:t>
      </w:r>
    </w:p>
    <w:p w14:paraId="086B6B4F">
      <w:pPr>
        <w:tabs>
          <w:tab w:val="left" w:pos="-180"/>
          <w:tab w:val="left" w:pos="180"/>
          <w:tab w:val="left" w:pos="360"/>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6.6</w:t>
      </w:r>
      <w:r>
        <w:rPr>
          <w:rFonts w:hint="eastAsia" w:ascii="宋体" w:hAnsi="宋体" w:cs="宋体"/>
          <w:b/>
          <w:color w:val="auto"/>
          <w:sz w:val="22"/>
          <w:szCs w:val="22"/>
          <w:highlight w:val="none"/>
        </w:rPr>
        <w:t>▲</w:t>
      </w:r>
      <w:r>
        <w:rPr>
          <w:rFonts w:hint="eastAsia" w:ascii="宋体" w:hAnsi="宋体" w:cs="宋体"/>
          <w:color w:val="auto"/>
          <w:sz w:val="22"/>
          <w:szCs w:val="22"/>
          <w:highlight w:val="none"/>
          <w:u w:val="single"/>
        </w:rPr>
        <w:t>投标报价报出后，投标人不得以任何理由予以变更，任何包含价格调整的要求，将被认为是非实质性响应投标而予以拒绝</w:t>
      </w:r>
      <w:r>
        <w:rPr>
          <w:rFonts w:hint="eastAsia" w:ascii="宋体" w:hAnsi="宋体" w:cs="宋体"/>
          <w:color w:val="auto"/>
          <w:sz w:val="22"/>
          <w:szCs w:val="22"/>
          <w:highlight w:val="none"/>
        </w:rPr>
        <w:t>。</w:t>
      </w:r>
    </w:p>
    <w:p w14:paraId="5D959CCD">
      <w:pPr>
        <w:spacing w:line="440" w:lineRule="exact"/>
        <w:rPr>
          <w:rFonts w:ascii="宋体" w:hAnsi="宋体" w:cs="宋体"/>
          <w:color w:val="auto"/>
          <w:sz w:val="22"/>
          <w:szCs w:val="22"/>
          <w:highlight w:val="none"/>
        </w:rPr>
      </w:pPr>
      <w:bookmarkStart w:id="36" w:name="_Toc230773778"/>
      <w:r>
        <w:rPr>
          <w:rFonts w:hint="eastAsia" w:ascii="宋体" w:hAnsi="宋体" w:cs="宋体"/>
          <w:bCs/>
          <w:color w:val="auto"/>
          <w:sz w:val="22"/>
          <w:szCs w:val="22"/>
          <w:highlight w:val="none"/>
        </w:rPr>
        <w:t xml:space="preserve">7.   </w:t>
      </w:r>
      <w:r>
        <w:rPr>
          <w:rFonts w:hint="eastAsia" w:ascii="宋体" w:hAnsi="宋体" w:cs="宋体"/>
          <w:b/>
          <w:bCs/>
          <w:color w:val="auto"/>
          <w:sz w:val="22"/>
          <w:szCs w:val="22"/>
          <w:highlight w:val="none"/>
          <w:u w:val="single"/>
        </w:rPr>
        <w:t>投标有效期</w:t>
      </w:r>
    </w:p>
    <w:p w14:paraId="7EC70FC3">
      <w:pPr>
        <w:spacing w:line="440" w:lineRule="exact"/>
        <w:rPr>
          <w:rFonts w:ascii="宋体" w:hAnsi="宋体" w:cs="宋体"/>
          <w:b/>
          <w:color w:val="auto"/>
          <w:sz w:val="22"/>
          <w:szCs w:val="22"/>
          <w:highlight w:val="none"/>
        </w:rPr>
      </w:pPr>
      <w:r>
        <w:rPr>
          <w:rFonts w:hint="eastAsia" w:ascii="宋体" w:hAnsi="宋体" w:cs="宋体"/>
          <w:color w:val="auto"/>
          <w:sz w:val="22"/>
          <w:szCs w:val="22"/>
          <w:highlight w:val="none"/>
        </w:rPr>
        <w:t>7.1</w:t>
      </w:r>
      <w:r>
        <w:rPr>
          <w:rFonts w:hint="eastAsia" w:ascii="宋体" w:hAnsi="宋体" w:cs="宋体"/>
          <w:b/>
          <w:color w:val="auto"/>
          <w:sz w:val="22"/>
          <w:szCs w:val="22"/>
          <w:highlight w:val="none"/>
        </w:rPr>
        <w:t>▲</w:t>
      </w:r>
      <w:r>
        <w:rPr>
          <w:rFonts w:hint="eastAsia" w:ascii="宋体" w:hAnsi="宋体" w:cs="宋体"/>
          <w:b/>
          <w:color w:val="auto"/>
          <w:sz w:val="22"/>
          <w:szCs w:val="22"/>
          <w:highlight w:val="none"/>
          <w:u w:val="single"/>
        </w:rPr>
        <w:t>自开标之日起</w:t>
      </w:r>
      <w:r>
        <w:rPr>
          <w:rFonts w:hint="eastAsia" w:ascii="宋体" w:hAnsi="宋体" w:cs="宋体"/>
          <w:b/>
          <w:bCs/>
          <w:color w:val="auto"/>
          <w:sz w:val="22"/>
          <w:szCs w:val="22"/>
          <w:highlight w:val="none"/>
          <w:u w:val="single"/>
        </w:rPr>
        <w:t>90</w:t>
      </w:r>
      <w:r>
        <w:rPr>
          <w:rFonts w:hint="eastAsia" w:ascii="宋体" w:hAnsi="宋体" w:cs="宋体"/>
          <w:b/>
          <w:color w:val="auto"/>
          <w:sz w:val="22"/>
          <w:szCs w:val="22"/>
          <w:highlight w:val="none"/>
          <w:u w:val="single"/>
        </w:rPr>
        <w:t>天内投标应保持投标有效</w:t>
      </w:r>
      <w:r>
        <w:rPr>
          <w:rFonts w:hint="eastAsia" w:ascii="宋体" w:hAnsi="宋体" w:cs="宋体"/>
          <w:b/>
          <w:color w:val="auto"/>
          <w:sz w:val="22"/>
          <w:szCs w:val="22"/>
          <w:highlight w:val="none"/>
        </w:rPr>
        <w:t>。</w:t>
      </w:r>
    </w:p>
    <w:p w14:paraId="4A01DFFF">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7.2  特殊情况下，在原投标有效期截止前，采购人可与投标人协商延长投标有效期，这种要求和答复均以书面形式进行。投标人可拒绝接受延期要求，也可以接受延期要求。同意延长投标有效期的投标人不得修改投标文件。</w:t>
      </w:r>
    </w:p>
    <w:p w14:paraId="397813DD">
      <w:pPr>
        <w:spacing w:line="440" w:lineRule="exact"/>
        <w:rPr>
          <w:rFonts w:ascii="宋体" w:hAnsi="宋体"/>
          <w:b/>
          <w:bCs/>
          <w:color w:val="auto"/>
          <w:sz w:val="22"/>
          <w:szCs w:val="22"/>
          <w:highlight w:val="none"/>
        </w:rPr>
      </w:pPr>
      <w:r>
        <w:rPr>
          <w:rFonts w:hint="eastAsia" w:ascii="宋体" w:hAnsi="宋体"/>
          <w:bCs/>
          <w:color w:val="auto"/>
          <w:sz w:val="22"/>
          <w:szCs w:val="22"/>
          <w:highlight w:val="none"/>
        </w:rPr>
        <w:t xml:space="preserve">8.   </w:t>
      </w:r>
      <w:r>
        <w:rPr>
          <w:rFonts w:hint="eastAsia" w:ascii="宋体" w:hAnsi="宋体"/>
          <w:b/>
          <w:bCs/>
          <w:color w:val="auto"/>
          <w:sz w:val="22"/>
          <w:szCs w:val="22"/>
          <w:highlight w:val="none"/>
        </w:rPr>
        <w:t>投标文件的签署和规定</w:t>
      </w:r>
    </w:p>
    <w:p w14:paraId="67960F43">
      <w:pPr>
        <w:spacing w:line="440" w:lineRule="exact"/>
        <w:ind w:left="550" w:hanging="550" w:hangingChars="250"/>
        <w:rPr>
          <w:color w:val="auto"/>
          <w:highlight w:val="none"/>
        </w:rPr>
      </w:pPr>
      <w:r>
        <w:rPr>
          <w:rFonts w:hint="eastAsia" w:ascii="宋体" w:hAnsi="宋体"/>
          <w:color w:val="auto"/>
          <w:sz w:val="22"/>
          <w:szCs w:val="22"/>
          <w:highlight w:val="none"/>
        </w:rPr>
        <w:t xml:space="preserve">8.1  </w:t>
      </w:r>
      <w:r>
        <w:rPr>
          <w:rFonts w:hint="eastAsia" w:ascii="宋体" w:hAnsi="宋体"/>
          <w:b/>
          <w:color w:val="auto"/>
          <w:sz w:val="22"/>
          <w:szCs w:val="22"/>
          <w:highlight w:val="none"/>
          <w:u w:val="single"/>
        </w:rPr>
        <w:t>投标人应根据招标文件的规定对投标文件进行电子盖章及签署</w:t>
      </w:r>
      <w:r>
        <w:rPr>
          <w:rFonts w:hint="eastAsia" w:ascii="宋体" w:hAnsi="宋体"/>
          <w:color w:val="auto"/>
          <w:sz w:val="22"/>
          <w:szCs w:val="22"/>
          <w:highlight w:val="none"/>
        </w:rPr>
        <w:t>。</w:t>
      </w:r>
    </w:p>
    <w:p w14:paraId="65679F41">
      <w:pPr>
        <w:pStyle w:val="3"/>
        <w:spacing w:line="680" w:lineRule="exact"/>
        <w:jc w:val="center"/>
        <w:rPr>
          <w:rFonts w:ascii="宋体" w:hAnsi="宋体" w:eastAsia="宋体" w:cs="宋体"/>
          <w:color w:val="auto"/>
          <w:sz w:val="28"/>
          <w:szCs w:val="28"/>
          <w:highlight w:val="none"/>
        </w:rPr>
      </w:pPr>
      <w:bookmarkStart w:id="37" w:name="_Toc29777"/>
      <w:r>
        <w:rPr>
          <w:rFonts w:hint="eastAsia" w:ascii="宋体" w:hAnsi="宋体" w:eastAsia="宋体" w:cs="宋体"/>
          <w:color w:val="auto"/>
          <w:sz w:val="28"/>
          <w:szCs w:val="28"/>
          <w:highlight w:val="none"/>
        </w:rPr>
        <w:t>四、 投标文件的递交</w:t>
      </w:r>
      <w:bookmarkEnd w:id="36"/>
      <w:bookmarkEnd w:id="37"/>
    </w:p>
    <w:p w14:paraId="11E818E1">
      <w:pPr>
        <w:spacing w:line="440" w:lineRule="exact"/>
        <w:rPr>
          <w:rFonts w:ascii="宋体" w:hAnsi="宋体" w:cs="宋体"/>
          <w:b/>
          <w:bCs/>
          <w:color w:val="auto"/>
          <w:sz w:val="22"/>
          <w:szCs w:val="22"/>
          <w:highlight w:val="none"/>
        </w:rPr>
      </w:pPr>
      <w:bookmarkStart w:id="38" w:name="_Toc230773779"/>
      <w:r>
        <w:rPr>
          <w:rFonts w:hint="eastAsia" w:ascii="宋体" w:hAnsi="宋体" w:cs="宋体"/>
          <w:bCs/>
          <w:color w:val="auto"/>
          <w:sz w:val="22"/>
          <w:szCs w:val="22"/>
          <w:highlight w:val="none"/>
        </w:rPr>
        <w:t xml:space="preserve">1.   </w:t>
      </w:r>
      <w:r>
        <w:rPr>
          <w:rFonts w:hint="eastAsia" w:ascii="宋体" w:hAnsi="宋体" w:cs="宋体"/>
          <w:b/>
          <w:bCs/>
          <w:color w:val="auto"/>
          <w:sz w:val="22"/>
          <w:szCs w:val="22"/>
          <w:highlight w:val="none"/>
        </w:rPr>
        <w:t>投标文件的递交</w:t>
      </w:r>
    </w:p>
    <w:p w14:paraId="03032837">
      <w:pPr>
        <w:spacing w:line="440" w:lineRule="exact"/>
        <w:ind w:firstLine="552" w:firstLineChars="250"/>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投标文件必须在招标文件规定的投标文件截止时间前完成电子投标文件的传输递交。投标截止</w:t>
      </w:r>
    </w:p>
    <w:p w14:paraId="782015AA">
      <w:pPr>
        <w:spacing w:line="440" w:lineRule="exact"/>
        <w:ind w:firstLine="552" w:firstLineChars="250"/>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时间前未完成传输的，视为撤回投标文件。投标截止时间后送达的投标文件，将被政采云平台</w:t>
      </w:r>
    </w:p>
    <w:p w14:paraId="74B0C779">
      <w:pPr>
        <w:spacing w:line="440" w:lineRule="exact"/>
        <w:ind w:firstLine="552" w:firstLineChars="250"/>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拒收。</w:t>
      </w:r>
    </w:p>
    <w:p w14:paraId="56D36C5F">
      <w:pPr>
        <w:spacing w:line="440" w:lineRule="exact"/>
        <w:ind w:left="550" w:hanging="550" w:hangingChars="250"/>
        <w:rPr>
          <w:rFonts w:ascii="宋体" w:hAnsi="宋体" w:cs="宋体"/>
          <w:b/>
          <w:bCs/>
          <w:color w:val="auto"/>
          <w:sz w:val="22"/>
          <w:szCs w:val="22"/>
          <w:highlight w:val="none"/>
        </w:rPr>
      </w:pPr>
      <w:r>
        <w:rPr>
          <w:rFonts w:ascii="宋体" w:hAnsi="宋体" w:cs="宋体"/>
          <w:bCs/>
          <w:color w:val="auto"/>
          <w:sz w:val="22"/>
          <w:szCs w:val="22"/>
          <w:highlight w:val="none"/>
        </w:rPr>
        <w:t>2</w:t>
      </w:r>
      <w:r>
        <w:rPr>
          <w:rFonts w:hint="eastAsia" w:ascii="宋体" w:hAnsi="宋体" w:cs="宋体"/>
          <w:bCs/>
          <w:color w:val="auto"/>
          <w:sz w:val="22"/>
          <w:szCs w:val="22"/>
          <w:highlight w:val="none"/>
        </w:rPr>
        <w:t xml:space="preserve">.   </w:t>
      </w:r>
      <w:r>
        <w:rPr>
          <w:rFonts w:hint="eastAsia" w:ascii="宋体" w:hAnsi="宋体" w:cs="宋体"/>
          <w:b/>
          <w:bCs/>
          <w:color w:val="auto"/>
          <w:sz w:val="22"/>
          <w:szCs w:val="22"/>
          <w:highlight w:val="none"/>
        </w:rPr>
        <w:t>投标文件的补充、修改和撤回</w:t>
      </w:r>
    </w:p>
    <w:p w14:paraId="0EAC87F1">
      <w:pPr>
        <w:spacing w:line="440" w:lineRule="exact"/>
        <w:ind w:firstLine="552" w:firstLineChars="250"/>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投标人在投标截止时间前，可以补充、修改或者撤回电子投标文件。补充或者修改电子投标文</w:t>
      </w:r>
    </w:p>
    <w:p w14:paraId="0745419F">
      <w:pPr>
        <w:spacing w:line="440" w:lineRule="exact"/>
        <w:ind w:firstLine="552" w:firstLineChars="250"/>
        <w:rPr>
          <w:color w:val="auto"/>
          <w:highlight w:val="none"/>
        </w:rPr>
      </w:pPr>
      <w:r>
        <w:rPr>
          <w:rFonts w:hint="eastAsia" w:ascii="宋体" w:hAnsi="宋体" w:cs="宋体"/>
          <w:b/>
          <w:bCs/>
          <w:color w:val="auto"/>
          <w:sz w:val="22"/>
          <w:szCs w:val="22"/>
          <w:highlight w:val="none"/>
          <w:u w:val="single"/>
        </w:rPr>
        <w:t>件的，应当先行撤回原文件，补充、修改后重新传输递交。</w:t>
      </w:r>
    </w:p>
    <w:p w14:paraId="193ECA63">
      <w:pPr>
        <w:pStyle w:val="3"/>
        <w:spacing w:line="680" w:lineRule="exact"/>
        <w:jc w:val="center"/>
        <w:rPr>
          <w:rFonts w:ascii="宋体" w:hAnsi="宋体" w:eastAsia="宋体" w:cs="宋体"/>
          <w:color w:val="auto"/>
          <w:sz w:val="28"/>
          <w:szCs w:val="28"/>
          <w:highlight w:val="none"/>
        </w:rPr>
      </w:pPr>
      <w:bookmarkStart w:id="39" w:name="_Toc1666"/>
      <w:r>
        <w:rPr>
          <w:rFonts w:hint="eastAsia" w:ascii="宋体" w:hAnsi="宋体" w:eastAsia="宋体" w:cs="宋体"/>
          <w:color w:val="auto"/>
          <w:sz w:val="28"/>
          <w:szCs w:val="28"/>
          <w:highlight w:val="none"/>
        </w:rPr>
        <w:t>五、 开标和评标</w:t>
      </w:r>
      <w:bookmarkEnd w:id="38"/>
      <w:bookmarkEnd w:id="39"/>
    </w:p>
    <w:p w14:paraId="78693B68">
      <w:pPr>
        <w:spacing w:line="440" w:lineRule="exact"/>
        <w:rPr>
          <w:rFonts w:ascii="宋体" w:hAnsi="宋体" w:cs="宋体"/>
          <w:b/>
          <w:bCs/>
          <w:color w:val="auto"/>
          <w:sz w:val="22"/>
          <w:szCs w:val="22"/>
          <w:highlight w:val="none"/>
        </w:rPr>
      </w:pPr>
      <w:r>
        <w:rPr>
          <w:rFonts w:hint="eastAsia" w:ascii="宋体" w:hAnsi="宋体" w:cs="宋体"/>
          <w:bCs/>
          <w:color w:val="auto"/>
          <w:sz w:val="22"/>
          <w:szCs w:val="22"/>
          <w:highlight w:val="none"/>
        </w:rPr>
        <w:t xml:space="preserve">1.   </w:t>
      </w:r>
      <w:r>
        <w:rPr>
          <w:rFonts w:hint="eastAsia" w:ascii="宋体" w:hAnsi="宋体" w:cs="宋体"/>
          <w:b/>
          <w:bCs/>
          <w:color w:val="auto"/>
          <w:sz w:val="22"/>
          <w:szCs w:val="22"/>
          <w:highlight w:val="none"/>
        </w:rPr>
        <w:t>评标委员会</w:t>
      </w:r>
    </w:p>
    <w:p w14:paraId="309C47D3">
      <w:pPr>
        <w:spacing w:line="440" w:lineRule="exact"/>
        <w:ind w:left="550"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rPr>
        <w:t>1.1  采购人和采购代理机构依法组建评标委员会，评标委员会的成员在评标过程中必须严格遵守《</w:t>
      </w:r>
      <w:r>
        <w:rPr>
          <w:rFonts w:hint="eastAsia" w:ascii="宋体" w:hAnsi="宋体" w:cs="宋体"/>
          <w:color w:val="auto"/>
          <w:sz w:val="22"/>
          <w:szCs w:val="22"/>
          <w:highlight w:val="none"/>
        </w:rPr>
        <w:t>中华人民共和国政府采购法</w:t>
      </w:r>
      <w:r>
        <w:rPr>
          <w:rFonts w:hint="eastAsia" w:ascii="宋体" w:hAnsi="宋体" w:cs="宋体"/>
          <w:bCs/>
          <w:color w:val="auto"/>
          <w:sz w:val="22"/>
          <w:szCs w:val="22"/>
          <w:highlight w:val="none"/>
        </w:rPr>
        <w:t>》等有关法律、法规的规定。</w:t>
      </w:r>
    </w:p>
    <w:p w14:paraId="628986F4">
      <w:pPr>
        <w:spacing w:line="440" w:lineRule="exact"/>
        <w:ind w:left="550"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2.   </w:t>
      </w:r>
      <w:r>
        <w:rPr>
          <w:rFonts w:hint="eastAsia" w:ascii="宋体" w:hAnsi="宋体" w:cs="宋体"/>
          <w:b/>
          <w:bCs/>
          <w:color w:val="auto"/>
          <w:sz w:val="22"/>
          <w:szCs w:val="22"/>
          <w:highlight w:val="none"/>
        </w:rPr>
        <w:t>评标过程的保密性</w:t>
      </w:r>
    </w:p>
    <w:p w14:paraId="71C7AB56">
      <w:pPr>
        <w:spacing w:line="440" w:lineRule="exact"/>
        <w:ind w:left="558" w:leftChars="4" w:hanging="550" w:hangingChars="250"/>
        <w:rPr>
          <w:rFonts w:ascii="宋体" w:hAnsi="宋体" w:cs="宋体"/>
          <w:b/>
          <w:bCs/>
          <w:color w:val="auto"/>
          <w:sz w:val="22"/>
          <w:szCs w:val="22"/>
          <w:highlight w:val="none"/>
        </w:rPr>
      </w:pPr>
      <w:r>
        <w:rPr>
          <w:rFonts w:hint="eastAsia" w:ascii="宋体" w:hAnsi="宋体" w:cs="宋体"/>
          <w:bCs/>
          <w:color w:val="auto"/>
          <w:sz w:val="22"/>
          <w:szCs w:val="22"/>
          <w:highlight w:val="none"/>
        </w:rPr>
        <w:t>2.1  开标后直至向中标人授予合同时止，凡与评审有关的资料均不得向投标人及与评标无关人员透露，如果投标人在评标过程中试图向采购人或采购代理机构施加影响，其投标将被拒绝。</w:t>
      </w:r>
    </w:p>
    <w:p w14:paraId="4FCC6D60">
      <w:pPr>
        <w:spacing w:line="440" w:lineRule="exact"/>
        <w:ind w:left="560" w:leftChars="4" w:hanging="552" w:hangingChars="250"/>
        <w:rPr>
          <w:rFonts w:ascii="宋体" w:hAnsi="宋体" w:cs="宋体"/>
          <w:b/>
          <w:bCs/>
          <w:color w:val="auto"/>
          <w:sz w:val="22"/>
          <w:szCs w:val="22"/>
          <w:highlight w:val="none"/>
        </w:rPr>
      </w:pPr>
      <w:r>
        <w:rPr>
          <w:rFonts w:hint="eastAsia" w:ascii="宋体" w:hAnsi="宋体" w:cs="宋体"/>
          <w:b/>
          <w:bCs/>
          <w:color w:val="auto"/>
          <w:sz w:val="22"/>
          <w:szCs w:val="22"/>
          <w:highlight w:val="none"/>
        </w:rPr>
        <w:t>3.   评标前准备</w:t>
      </w:r>
    </w:p>
    <w:p w14:paraId="069317A0">
      <w:pPr>
        <w:spacing w:line="440" w:lineRule="exact"/>
        <w:ind w:left="558" w:leftChars="4" w:hanging="550" w:hangingChars="250"/>
        <w:rPr>
          <w:rFonts w:ascii="宋体" w:hAnsi="宋体" w:cs="宋体"/>
          <w:bCs/>
          <w:color w:val="auto"/>
          <w:sz w:val="22"/>
          <w:szCs w:val="22"/>
          <w:highlight w:val="none"/>
        </w:rPr>
      </w:pPr>
      <w:r>
        <w:rPr>
          <w:rFonts w:ascii="宋体" w:hAnsi="宋体" w:cs="宋体"/>
          <w:bCs/>
          <w:color w:val="auto"/>
          <w:sz w:val="22"/>
          <w:szCs w:val="22"/>
          <w:highlight w:val="none"/>
        </w:rPr>
        <w:t xml:space="preserve">3.1  </w:t>
      </w:r>
      <w:r>
        <w:rPr>
          <w:rFonts w:hint="eastAsia" w:ascii="宋体" w:hAnsi="宋体" w:cs="宋体"/>
          <w:bCs/>
          <w:color w:val="auto"/>
          <w:sz w:val="22"/>
          <w:szCs w:val="22"/>
          <w:highlight w:val="none"/>
        </w:rPr>
        <w:t>投标文件签收及解密：由采购代理机构开始签收并开始解密投标文件。</w:t>
      </w:r>
    </w:p>
    <w:p w14:paraId="214794EC">
      <w:pPr>
        <w:spacing w:line="440" w:lineRule="exact"/>
        <w:ind w:left="558" w:leftChars="4"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rPr>
        <w:t>3</w:t>
      </w:r>
      <w:r>
        <w:rPr>
          <w:rFonts w:ascii="宋体" w:hAnsi="宋体" w:cs="宋体"/>
          <w:bCs/>
          <w:color w:val="auto"/>
          <w:sz w:val="22"/>
          <w:szCs w:val="22"/>
          <w:highlight w:val="none"/>
        </w:rPr>
        <w:t xml:space="preserve">.2  </w:t>
      </w:r>
      <w:r>
        <w:rPr>
          <w:rFonts w:hint="eastAsia" w:ascii="宋体" w:hAnsi="宋体" w:cs="宋体"/>
          <w:bCs/>
          <w:color w:val="auto"/>
          <w:sz w:val="22"/>
          <w:szCs w:val="22"/>
          <w:highlight w:val="none"/>
        </w:rPr>
        <w:t>投标文件解密：投标文件递交截止时间后，投标人登录政采云平台，用“项目采购-开标评标”功能对电子投标文件进行在线解密。在线解密电子投标文件时间为开标时间起半个小时内。</w:t>
      </w:r>
      <w:r>
        <w:rPr>
          <w:rFonts w:ascii="宋体" w:hAnsi="宋体" w:cs="宋体"/>
          <w:bCs/>
          <w:color w:val="auto"/>
          <w:sz w:val="22"/>
          <w:szCs w:val="22"/>
          <w:highlight w:val="none"/>
        </w:rPr>
        <w:t>投标文件未按时解密，</w:t>
      </w:r>
      <w:r>
        <w:rPr>
          <w:rFonts w:hint="eastAsia" w:ascii="宋体" w:hAnsi="宋体" w:cs="宋体"/>
          <w:bCs/>
          <w:color w:val="auto"/>
          <w:sz w:val="22"/>
          <w:szCs w:val="22"/>
          <w:highlight w:val="none"/>
        </w:rPr>
        <w:t>投标人</w:t>
      </w:r>
      <w:r>
        <w:rPr>
          <w:rFonts w:ascii="宋体" w:hAnsi="宋体" w:cs="宋体"/>
          <w:bCs/>
          <w:color w:val="auto"/>
          <w:sz w:val="22"/>
          <w:szCs w:val="22"/>
          <w:highlight w:val="none"/>
        </w:rPr>
        <w:t>提供了备份投标文件的，以备份投标文件作为依据，否则视为投标文件撤回。投标文件已按时解密的，备份投标文件自动失效。</w:t>
      </w:r>
    </w:p>
    <w:p w14:paraId="12508103">
      <w:pPr>
        <w:spacing w:line="440" w:lineRule="exact"/>
        <w:ind w:left="558" w:leftChars="4"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rPr>
        <w:t>3</w:t>
      </w:r>
      <w:r>
        <w:rPr>
          <w:rFonts w:ascii="宋体" w:hAnsi="宋体" w:cs="宋体"/>
          <w:bCs/>
          <w:color w:val="auto"/>
          <w:sz w:val="22"/>
          <w:szCs w:val="22"/>
          <w:highlight w:val="none"/>
        </w:rPr>
        <w:t xml:space="preserve">.3  </w:t>
      </w:r>
      <w:r>
        <w:rPr>
          <w:rFonts w:hint="eastAsia" w:ascii="宋体" w:hAnsi="宋体" w:cs="宋体"/>
          <w:bCs/>
          <w:color w:val="auto"/>
          <w:sz w:val="22"/>
          <w:szCs w:val="22"/>
          <w:highlight w:val="none"/>
        </w:rPr>
        <w:t>投标文件解密结束。投标人在线解密投标文件完毕后，由采购代理机构结束解密投标文件。</w:t>
      </w:r>
    </w:p>
    <w:p w14:paraId="0261774B">
      <w:pPr>
        <w:spacing w:line="440" w:lineRule="exact"/>
        <w:ind w:left="560" w:leftChars="4" w:hanging="552" w:hangingChars="250"/>
        <w:rPr>
          <w:rFonts w:ascii="宋体" w:hAnsi="宋体" w:cs="宋体"/>
          <w:b/>
          <w:color w:val="auto"/>
          <w:sz w:val="22"/>
          <w:szCs w:val="22"/>
          <w:highlight w:val="none"/>
        </w:rPr>
      </w:pPr>
      <w:r>
        <w:rPr>
          <w:rFonts w:ascii="宋体" w:hAnsi="宋体" w:cs="宋体"/>
          <w:b/>
          <w:color w:val="auto"/>
          <w:sz w:val="22"/>
          <w:szCs w:val="22"/>
          <w:highlight w:val="none"/>
        </w:rPr>
        <w:t xml:space="preserve">4.   </w:t>
      </w:r>
      <w:r>
        <w:rPr>
          <w:rFonts w:hint="eastAsia" w:ascii="宋体" w:hAnsi="宋体" w:cs="宋体"/>
          <w:b/>
          <w:color w:val="auto"/>
          <w:sz w:val="22"/>
          <w:szCs w:val="22"/>
          <w:highlight w:val="none"/>
        </w:rPr>
        <w:t>开标评标</w:t>
      </w:r>
    </w:p>
    <w:p w14:paraId="27AC33D0">
      <w:pPr>
        <w:spacing w:line="440" w:lineRule="exact"/>
        <w:ind w:left="558" w:leftChars="4" w:hanging="550" w:hangingChars="250"/>
        <w:rPr>
          <w:rFonts w:ascii="宋体" w:hAnsi="宋体" w:cs="宋体"/>
          <w:bCs/>
          <w:color w:val="auto"/>
          <w:sz w:val="22"/>
          <w:szCs w:val="22"/>
          <w:highlight w:val="none"/>
        </w:rPr>
      </w:pPr>
      <w:r>
        <w:rPr>
          <w:rFonts w:ascii="宋体" w:hAnsi="宋体" w:cs="宋体"/>
          <w:bCs/>
          <w:color w:val="auto"/>
          <w:sz w:val="22"/>
          <w:szCs w:val="22"/>
          <w:highlight w:val="none"/>
        </w:rPr>
        <w:t>4.1</w:t>
      </w:r>
      <w:r>
        <w:rPr>
          <w:rFonts w:hint="eastAsia" w:ascii="宋体" w:hAnsi="宋体" w:cs="宋体"/>
          <w:bCs/>
          <w:color w:val="auto"/>
          <w:sz w:val="22"/>
          <w:szCs w:val="22"/>
          <w:highlight w:val="none"/>
        </w:rPr>
        <w:t xml:space="preserve">  资格性审查</w:t>
      </w:r>
    </w:p>
    <w:p w14:paraId="25D16C89">
      <w:pPr>
        <w:spacing w:line="440" w:lineRule="exact"/>
        <w:ind w:left="533" w:leftChars="254"/>
        <w:rPr>
          <w:rFonts w:ascii="宋体" w:hAnsi="宋体" w:cs="宋体"/>
          <w:bCs/>
          <w:color w:val="auto"/>
          <w:sz w:val="22"/>
          <w:szCs w:val="22"/>
          <w:highlight w:val="none"/>
        </w:rPr>
      </w:pPr>
      <w:r>
        <w:rPr>
          <w:rFonts w:hint="eastAsia" w:ascii="宋体" w:hAnsi="宋体" w:cs="宋体"/>
          <w:bCs/>
          <w:color w:val="auto"/>
          <w:sz w:val="22"/>
          <w:szCs w:val="22"/>
          <w:highlight w:val="none"/>
        </w:rPr>
        <w:t>采购人或采购代理机构依据法律、法规和招标文件的规定，对各投标文件中的资格证明在线进行审查，以确定是否具备投标资格。</w:t>
      </w:r>
      <w:r>
        <w:rPr>
          <w:rFonts w:hint="eastAsia" w:ascii="宋体" w:hAnsi="宋体" w:cs="宋体"/>
          <w:b/>
          <w:color w:val="auto"/>
          <w:sz w:val="22"/>
          <w:szCs w:val="22"/>
          <w:highlight w:val="none"/>
        </w:rPr>
        <w:t>▲</w:t>
      </w:r>
      <w:r>
        <w:rPr>
          <w:rFonts w:hint="eastAsia" w:ascii="宋体" w:hAnsi="宋体" w:cs="宋体"/>
          <w:b/>
          <w:color w:val="auto"/>
          <w:sz w:val="22"/>
          <w:szCs w:val="22"/>
          <w:highlight w:val="none"/>
          <w:u w:val="single"/>
        </w:rPr>
        <w:t>只要有一项审查不合格，则该投标人的资格审查不合格，审查不合格的投标文件将不予评审。</w:t>
      </w:r>
    </w:p>
    <w:p w14:paraId="4B0239F2">
      <w:pPr>
        <w:spacing w:line="440" w:lineRule="exact"/>
        <w:ind w:left="558" w:leftChars="4" w:hanging="550" w:hangingChars="250"/>
        <w:rPr>
          <w:rFonts w:ascii="宋体" w:hAnsi="宋体" w:cs="宋体"/>
          <w:bCs/>
          <w:color w:val="auto"/>
          <w:sz w:val="22"/>
          <w:szCs w:val="22"/>
          <w:highlight w:val="none"/>
        </w:rPr>
      </w:pPr>
      <w:r>
        <w:rPr>
          <w:rFonts w:ascii="宋体" w:hAnsi="宋体" w:cs="宋体"/>
          <w:bCs/>
          <w:color w:val="auto"/>
          <w:sz w:val="22"/>
          <w:szCs w:val="22"/>
          <w:highlight w:val="none"/>
        </w:rPr>
        <w:t>4.2</w:t>
      </w:r>
      <w:r>
        <w:rPr>
          <w:rFonts w:hint="eastAsia" w:ascii="宋体" w:hAnsi="宋体" w:cs="宋体"/>
          <w:bCs/>
          <w:color w:val="auto"/>
          <w:sz w:val="22"/>
          <w:szCs w:val="22"/>
          <w:highlight w:val="none"/>
        </w:rPr>
        <w:t xml:space="preserve">  符合性审查</w:t>
      </w:r>
    </w:p>
    <w:p w14:paraId="6F76EEF4">
      <w:pPr>
        <w:spacing w:line="440" w:lineRule="exact"/>
        <w:ind w:left="525" w:leftChars="250"/>
        <w:rPr>
          <w:rFonts w:ascii="宋体" w:hAnsi="宋体" w:cs="宋体"/>
          <w:bCs/>
          <w:color w:val="auto"/>
          <w:sz w:val="22"/>
          <w:szCs w:val="22"/>
          <w:highlight w:val="none"/>
        </w:rPr>
      </w:pPr>
      <w:r>
        <w:rPr>
          <w:rFonts w:hint="eastAsia" w:ascii="宋体" w:hAnsi="宋体" w:cs="宋体"/>
          <w:bCs/>
          <w:color w:val="auto"/>
          <w:sz w:val="22"/>
          <w:szCs w:val="22"/>
          <w:highlight w:val="none"/>
        </w:rPr>
        <w:t>评标委员会依据法律、法规和招标文件的规定，对投标文件的有效性、完整性和对招标文件的响应程度进行审查，以确定是否符合招标文件的商务、技术等实质性要求。</w:t>
      </w:r>
      <w:r>
        <w:rPr>
          <w:rFonts w:hint="eastAsia" w:ascii="宋体" w:hAnsi="宋体" w:cs="宋体"/>
          <w:b/>
          <w:color w:val="auto"/>
          <w:sz w:val="22"/>
          <w:szCs w:val="22"/>
          <w:highlight w:val="none"/>
          <w:u w:val="single"/>
        </w:rPr>
        <w:t>评标委员会决定投标的响应性只根据投标文件本身的内容，而不寻求外部的证据。</w:t>
      </w:r>
    </w:p>
    <w:p w14:paraId="7DCDC69E">
      <w:pPr>
        <w:spacing w:line="440" w:lineRule="exact"/>
        <w:ind w:left="539" w:hanging="539" w:hangingChars="245"/>
        <w:rPr>
          <w:rFonts w:ascii="宋体" w:hAnsi="宋体" w:cs="宋体"/>
          <w:bCs/>
          <w:color w:val="auto"/>
          <w:sz w:val="22"/>
          <w:szCs w:val="22"/>
          <w:highlight w:val="none"/>
        </w:rPr>
      </w:pPr>
      <w:r>
        <w:rPr>
          <w:rFonts w:hint="eastAsia" w:ascii="宋体" w:hAnsi="宋体" w:cs="宋体"/>
          <w:bCs/>
          <w:color w:val="auto"/>
          <w:sz w:val="22"/>
          <w:szCs w:val="22"/>
          <w:highlight w:val="none"/>
        </w:rPr>
        <w:t>4</w:t>
      </w:r>
      <w:r>
        <w:rPr>
          <w:rFonts w:ascii="宋体" w:hAnsi="宋体" w:cs="宋体"/>
          <w:bCs/>
          <w:color w:val="auto"/>
          <w:sz w:val="22"/>
          <w:szCs w:val="22"/>
          <w:highlight w:val="none"/>
        </w:rPr>
        <w:t xml:space="preserve">.3  </w:t>
      </w:r>
      <w:r>
        <w:rPr>
          <w:rFonts w:hint="eastAsia" w:ascii="宋体" w:hAnsi="宋体" w:cs="宋体"/>
          <w:bCs/>
          <w:color w:val="auto"/>
          <w:sz w:val="22"/>
          <w:szCs w:val="22"/>
          <w:highlight w:val="none"/>
        </w:rPr>
        <w:t>投标文件评审</w:t>
      </w:r>
    </w:p>
    <w:p w14:paraId="63236FA7">
      <w:pPr>
        <w:spacing w:line="440" w:lineRule="exact"/>
        <w:ind w:left="550"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     评标委员会根据招标文件中规定的评标方法和标准，对符合性审查合格的投标文件进行商务、技术和价格评估，综合比较与评价，并</w:t>
      </w:r>
      <w:r>
        <w:rPr>
          <w:rFonts w:hint="eastAsia" w:ascii="宋体" w:hAnsi="宋体" w:cs="宋体"/>
          <w:color w:val="auto"/>
          <w:sz w:val="22"/>
          <w:szCs w:val="22"/>
          <w:highlight w:val="none"/>
        </w:rPr>
        <w:t>按照招标文件中制订的评标方法进行综合评定打分，并提交评审报告。</w:t>
      </w:r>
    </w:p>
    <w:p w14:paraId="67EC133E">
      <w:pPr>
        <w:tabs>
          <w:tab w:val="left" w:pos="1365"/>
        </w:tabs>
        <w:spacing w:line="440" w:lineRule="exact"/>
        <w:ind w:left="552" w:hanging="552" w:hangingChars="250"/>
        <w:rPr>
          <w:rFonts w:ascii="宋体" w:hAnsi="宋体" w:cs="宋体"/>
          <w:b/>
          <w:color w:val="auto"/>
          <w:sz w:val="22"/>
          <w:szCs w:val="22"/>
          <w:highlight w:val="none"/>
        </w:rPr>
      </w:pPr>
      <w:r>
        <w:rPr>
          <w:rFonts w:ascii="宋体" w:hAnsi="宋体" w:cs="宋体"/>
          <w:b/>
          <w:color w:val="auto"/>
          <w:sz w:val="22"/>
          <w:szCs w:val="22"/>
          <w:highlight w:val="none"/>
        </w:rPr>
        <w:t>5</w:t>
      </w:r>
      <w:r>
        <w:rPr>
          <w:rFonts w:hint="eastAsia" w:ascii="宋体" w:hAnsi="宋体" w:cs="宋体"/>
          <w:b/>
          <w:color w:val="auto"/>
          <w:sz w:val="22"/>
          <w:szCs w:val="22"/>
          <w:highlight w:val="none"/>
        </w:rPr>
        <w:t>.   投标文件的澄清</w:t>
      </w:r>
    </w:p>
    <w:p w14:paraId="10E83A13">
      <w:pPr>
        <w:tabs>
          <w:tab w:val="left" w:pos="1365"/>
        </w:tabs>
        <w:spacing w:line="440" w:lineRule="exact"/>
        <w:ind w:left="550" w:hanging="550" w:hangingChars="250"/>
        <w:rPr>
          <w:rFonts w:ascii="宋体" w:hAnsi="宋体" w:cs="宋体"/>
          <w:color w:val="auto"/>
          <w:sz w:val="22"/>
          <w:szCs w:val="22"/>
          <w:highlight w:val="none"/>
        </w:rPr>
      </w:pPr>
      <w:r>
        <w:rPr>
          <w:rFonts w:ascii="宋体" w:hAnsi="宋体" w:cs="宋体"/>
          <w:color w:val="auto"/>
          <w:sz w:val="22"/>
          <w:szCs w:val="22"/>
          <w:highlight w:val="none"/>
        </w:rPr>
        <w:t>5</w:t>
      </w:r>
      <w:r>
        <w:rPr>
          <w:rFonts w:hint="eastAsia" w:ascii="宋体" w:hAnsi="宋体" w:cs="宋体"/>
          <w:color w:val="auto"/>
          <w:sz w:val="22"/>
          <w:szCs w:val="22"/>
          <w:highlight w:val="none"/>
        </w:rPr>
        <w:t>.1  对于投标文件中含义不明确、同类问题表述不一致或者有明显文字和计算错误的内容，评标委员会应当以书面形式要求投标人作出必要的澄清、说明或者补正。</w:t>
      </w:r>
    </w:p>
    <w:p w14:paraId="0425F557">
      <w:pPr>
        <w:tabs>
          <w:tab w:val="left" w:pos="1365"/>
        </w:tabs>
        <w:spacing w:line="440" w:lineRule="exact"/>
        <w:ind w:left="550" w:hanging="550" w:hangingChars="250"/>
        <w:rPr>
          <w:rFonts w:ascii="宋体" w:hAnsi="宋体" w:cs="宋体"/>
          <w:color w:val="auto"/>
          <w:sz w:val="22"/>
          <w:szCs w:val="22"/>
          <w:highlight w:val="none"/>
        </w:rPr>
      </w:pPr>
      <w:r>
        <w:rPr>
          <w:rFonts w:ascii="宋体" w:hAnsi="宋体" w:cs="宋体"/>
          <w:color w:val="auto"/>
          <w:sz w:val="22"/>
          <w:szCs w:val="22"/>
          <w:highlight w:val="none"/>
        </w:rPr>
        <w:t>5</w:t>
      </w:r>
      <w:r>
        <w:rPr>
          <w:rFonts w:hint="eastAsia" w:ascii="宋体" w:hAnsi="宋体" w:cs="宋体"/>
          <w:color w:val="auto"/>
          <w:sz w:val="22"/>
          <w:szCs w:val="22"/>
          <w:highlight w:val="none"/>
        </w:rPr>
        <w:t>.2  投标人的澄清、说明或者补正应当采用电子传输形式。</w:t>
      </w:r>
      <w:r>
        <w:rPr>
          <w:rFonts w:hint="eastAsia" w:ascii="宋体" w:hAnsi="宋体" w:cs="宋体"/>
          <w:b/>
          <w:color w:val="auto"/>
          <w:sz w:val="22"/>
          <w:szCs w:val="22"/>
          <w:highlight w:val="none"/>
          <w:u w:val="single"/>
        </w:rPr>
        <w:t>投标人的澄清、说明或者补正不得超出投标文件的范围或者改变投标文件的实质性内容。</w:t>
      </w:r>
    </w:p>
    <w:p w14:paraId="7C1B0288">
      <w:pPr>
        <w:spacing w:line="440" w:lineRule="exact"/>
        <w:ind w:left="552" w:hanging="552" w:hangingChars="250"/>
        <w:rPr>
          <w:rFonts w:ascii="宋体" w:hAnsi="宋体" w:cs="宋体"/>
          <w:b/>
          <w:bCs/>
          <w:color w:val="auto"/>
          <w:sz w:val="22"/>
          <w:szCs w:val="22"/>
          <w:highlight w:val="none"/>
        </w:rPr>
      </w:pPr>
      <w:r>
        <w:rPr>
          <w:rFonts w:hint="eastAsia" w:ascii="宋体" w:hAnsi="宋体" w:cs="宋体"/>
          <w:b/>
          <w:bCs/>
          <w:color w:val="auto"/>
          <w:sz w:val="22"/>
          <w:szCs w:val="22"/>
          <w:highlight w:val="none"/>
        </w:rPr>
        <w:t>6.   投标价格修正</w:t>
      </w:r>
    </w:p>
    <w:p w14:paraId="32CF95EF">
      <w:pPr>
        <w:spacing w:line="440" w:lineRule="exact"/>
        <w:ind w:left="571" w:leftChars="10"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     评标委员会对各投标人的投标报价进行核查，核查时发现投标报价内容不清楚可要求投标人书面澄清，投标文件报价出现前后不一致的，按照下列规定修正：</w:t>
      </w:r>
    </w:p>
    <w:p w14:paraId="3CBAE269">
      <w:pPr>
        <w:spacing w:line="440" w:lineRule="exact"/>
        <w:ind w:left="571" w:leftChars="10"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rPr>
        <w:t>（1）投标文件中投标报价一览表内容与投标分项报价表不一致的，以投标报价一览表为准；</w:t>
      </w:r>
    </w:p>
    <w:p w14:paraId="3BE2323E">
      <w:pPr>
        <w:spacing w:line="440" w:lineRule="exact"/>
        <w:ind w:left="567" w:leftChars="8"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rPr>
        <w:t>（2）大写金额与小写金额不一致的，以大写金额为准；</w:t>
      </w:r>
    </w:p>
    <w:p w14:paraId="425B97BA">
      <w:pPr>
        <w:spacing w:line="440" w:lineRule="exact"/>
        <w:ind w:left="567" w:leftChars="8"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rPr>
        <w:t>（3）单价金额小数点或者百分比有明显错位的，以投标报价一览表的总价为准，并修改单价；</w:t>
      </w:r>
    </w:p>
    <w:p w14:paraId="682E6B77">
      <w:pPr>
        <w:spacing w:line="440" w:lineRule="exact"/>
        <w:ind w:left="567" w:leftChars="8"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rPr>
        <w:t>（4）总价金额与按单价汇总金额不一致的，以单价金额计算结果为准。</w:t>
      </w:r>
    </w:p>
    <w:p w14:paraId="1BD327DB">
      <w:pPr>
        <w:spacing w:line="440" w:lineRule="exact"/>
        <w:ind w:left="571" w:leftChars="10" w:hanging="550" w:hangingChars="250"/>
        <w:rPr>
          <w:rFonts w:ascii="宋体" w:hAnsi="宋体" w:cs="宋体"/>
          <w:b/>
          <w:bCs/>
          <w:color w:val="auto"/>
          <w:sz w:val="22"/>
          <w:szCs w:val="22"/>
          <w:highlight w:val="none"/>
          <w:u w:val="single"/>
        </w:rPr>
      </w:pPr>
      <w:r>
        <w:rPr>
          <w:rFonts w:hint="eastAsia" w:ascii="宋体" w:hAnsi="宋体" w:cs="宋体"/>
          <w:bCs/>
          <w:color w:val="auto"/>
          <w:sz w:val="22"/>
          <w:szCs w:val="22"/>
          <w:highlight w:val="none"/>
        </w:rPr>
        <w:t>（5）</w:t>
      </w:r>
      <w:r>
        <w:rPr>
          <w:rFonts w:hint="eastAsia" w:ascii="宋体" w:hAnsi="宋体" w:cs="宋体"/>
          <w:b/>
          <w:color w:val="auto"/>
          <w:sz w:val="22"/>
          <w:szCs w:val="22"/>
          <w:highlight w:val="none"/>
        </w:rPr>
        <w:t>▲</w:t>
      </w:r>
      <w:r>
        <w:rPr>
          <w:rFonts w:hint="eastAsia" w:ascii="宋体" w:hAnsi="宋体" w:cs="宋体"/>
          <w:b/>
          <w:bCs/>
          <w:color w:val="auto"/>
          <w:sz w:val="22"/>
          <w:szCs w:val="22"/>
          <w:highlight w:val="none"/>
          <w:u w:val="single"/>
        </w:rPr>
        <w:t>同时出现两种以上不一致的，按照前款规定的顺序修正。修正后的报价按照第</w:t>
      </w:r>
      <w:r>
        <w:rPr>
          <w:rFonts w:ascii="宋体" w:hAnsi="宋体" w:cs="宋体"/>
          <w:b/>
          <w:bCs/>
          <w:color w:val="auto"/>
          <w:sz w:val="22"/>
          <w:szCs w:val="22"/>
          <w:highlight w:val="none"/>
          <w:u w:val="single"/>
        </w:rPr>
        <w:t>5</w:t>
      </w:r>
      <w:r>
        <w:rPr>
          <w:rFonts w:hint="eastAsia" w:ascii="宋体" w:hAnsi="宋体" w:cs="宋体"/>
          <w:b/>
          <w:bCs/>
          <w:color w:val="auto"/>
          <w:sz w:val="22"/>
          <w:szCs w:val="22"/>
          <w:highlight w:val="none"/>
          <w:u w:val="single"/>
        </w:rPr>
        <w:t>点的规定经投标人确认后产生约束力，投标人不确认的，其投标无效</w:t>
      </w:r>
      <w:r>
        <w:rPr>
          <w:rFonts w:hint="eastAsia" w:ascii="宋体" w:hAnsi="宋体" w:cs="宋体"/>
          <w:bCs/>
          <w:color w:val="auto"/>
          <w:sz w:val="22"/>
          <w:szCs w:val="22"/>
          <w:highlight w:val="none"/>
        </w:rPr>
        <w:t>。</w:t>
      </w:r>
    </w:p>
    <w:p w14:paraId="7B3A935B">
      <w:pPr>
        <w:spacing w:line="440" w:lineRule="exact"/>
        <w:ind w:left="573" w:leftChars="10" w:hanging="552" w:hangingChars="250"/>
        <w:rPr>
          <w:rFonts w:ascii="宋体" w:hAnsi="宋体" w:cs="宋体"/>
          <w:b/>
          <w:color w:val="auto"/>
          <w:sz w:val="22"/>
          <w:szCs w:val="22"/>
          <w:highlight w:val="none"/>
        </w:rPr>
      </w:pPr>
      <w:r>
        <w:rPr>
          <w:rFonts w:hint="eastAsia" w:ascii="宋体" w:hAnsi="宋体" w:cs="宋体"/>
          <w:b/>
          <w:color w:val="auto"/>
          <w:sz w:val="22"/>
          <w:szCs w:val="22"/>
          <w:highlight w:val="none"/>
        </w:rPr>
        <w:t>7.   投标无效。</w:t>
      </w:r>
      <w:r>
        <w:rPr>
          <w:rFonts w:hint="eastAsia" w:cs="宋体"/>
          <w:b/>
          <w:color w:val="auto"/>
          <w:sz w:val="22"/>
          <w:szCs w:val="22"/>
          <w:highlight w:val="none"/>
        </w:rPr>
        <w:t>有下列情形之一的，投标无效</w:t>
      </w:r>
      <w:r>
        <w:rPr>
          <w:rFonts w:hint="eastAsia" w:ascii="宋体" w:hAnsi="宋体" w:cs="宋体"/>
          <w:b/>
          <w:color w:val="auto"/>
          <w:sz w:val="22"/>
          <w:szCs w:val="22"/>
          <w:highlight w:val="none"/>
        </w:rPr>
        <w:t>：</w:t>
      </w:r>
    </w:p>
    <w:p w14:paraId="061DFDAA">
      <w:pPr>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7.1  在资格审查时，如发现下列情形之一的，投标文件将被视为无效：</w:t>
      </w:r>
    </w:p>
    <w:p w14:paraId="426A7F05">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sz w:val="22"/>
          <w:szCs w:val="22"/>
          <w:highlight w:val="none"/>
          <w:u w:val="single"/>
        </w:rPr>
        <w:t>单位负责人为同一人或者存在直接控股、管理关系的不同供应商参加同一合同项下的政府采购活动的（均无效）</w:t>
      </w:r>
      <w:r>
        <w:rPr>
          <w:rFonts w:hint="eastAsia" w:ascii="宋体" w:hAnsi="宋体" w:cs="宋体"/>
          <w:color w:val="auto"/>
          <w:sz w:val="22"/>
          <w:szCs w:val="22"/>
          <w:highlight w:val="none"/>
        </w:rPr>
        <w:t>；</w:t>
      </w:r>
    </w:p>
    <w:p w14:paraId="38E2B414">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u w:val="single"/>
        </w:rPr>
        <w:t>为采购项目提供整体设计、规范编制或者项目管理、监理、检测等服务的供应商再参加该采购项目的其他采购活动的</w:t>
      </w:r>
      <w:r>
        <w:rPr>
          <w:rFonts w:hint="eastAsia" w:ascii="宋体" w:hAnsi="宋体" w:cs="宋体"/>
          <w:color w:val="auto"/>
          <w:sz w:val="22"/>
          <w:szCs w:val="22"/>
          <w:highlight w:val="none"/>
        </w:rPr>
        <w:t xml:space="preserve">； </w:t>
      </w:r>
    </w:p>
    <w:p w14:paraId="54D2F418">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s="宋体"/>
          <w:color w:val="auto"/>
          <w:sz w:val="22"/>
          <w:szCs w:val="22"/>
          <w:highlight w:val="none"/>
          <w:u w:val="single"/>
        </w:rPr>
        <w:t>提供的有效的资格证明材料或材料不全的，或者不具备招标文件中规定的资格要求的</w:t>
      </w:r>
      <w:r>
        <w:rPr>
          <w:rFonts w:hint="eastAsia" w:ascii="宋体" w:hAnsi="宋体" w:cs="宋体"/>
          <w:color w:val="auto"/>
          <w:sz w:val="22"/>
          <w:szCs w:val="22"/>
          <w:highlight w:val="none"/>
        </w:rPr>
        <w:t>；</w:t>
      </w:r>
    </w:p>
    <w:p w14:paraId="5CC1FB83">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（4）</w:t>
      </w:r>
      <w:r>
        <w:rPr>
          <w:rFonts w:hint="eastAsia" w:ascii="宋体" w:hAnsi="宋体" w:cs="宋体"/>
          <w:color w:val="auto"/>
          <w:sz w:val="22"/>
          <w:highlight w:val="none"/>
          <w:u w:val="single"/>
        </w:rPr>
        <w:t>资格文件出现投标报价的</w:t>
      </w:r>
      <w:r>
        <w:rPr>
          <w:rFonts w:hint="eastAsia" w:ascii="宋体" w:hAnsi="宋体" w:cs="宋体"/>
          <w:color w:val="auto"/>
          <w:sz w:val="22"/>
          <w:szCs w:val="22"/>
          <w:highlight w:val="none"/>
        </w:rPr>
        <w:t>；</w:t>
      </w:r>
    </w:p>
    <w:p w14:paraId="23A4E2ED">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（5）</w:t>
      </w:r>
      <w:r>
        <w:rPr>
          <w:rFonts w:hint="eastAsia" w:ascii="宋体" w:hAnsi="宋体" w:cs="宋体"/>
          <w:color w:val="auto"/>
          <w:sz w:val="22"/>
          <w:szCs w:val="22"/>
          <w:highlight w:val="none"/>
          <w:u w:val="single"/>
        </w:rPr>
        <w:t>未有效提供法定代表人授权委托书或所载内容与本项目内容有异的</w:t>
      </w:r>
      <w:r>
        <w:rPr>
          <w:rFonts w:hint="eastAsia" w:ascii="宋体" w:hAnsi="宋体" w:cs="宋体"/>
          <w:color w:val="auto"/>
          <w:sz w:val="22"/>
          <w:szCs w:val="22"/>
          <w:highlight w:val="none"/>
        </w:rPr>
        <w:t>；</w:t>
      </w:r>
    </w:p>
    <w:p w14:paraId="7F6BEC12">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（6）</w:t>
      </w:r>
      <w:r>
        <w:rPr>
          <w:rFonts w:hint="eastAsia" w:ascii="宋体" w:hAnsi="宋体" w:cs="宋体"/>
          <w:color w:val="auto"/>
          <w:sz w:val="22"/>
          <w:szCs w:val="22"/>
          <w:highlight w:val="none"/>
          <w:u w:val="single"/>
        </w:rPr>
        <w:t>如以联合体形式参加政府采购活动的，未提供联合协议的</w:t>
      </w:r>
      <w:r>
        <w:rPr>
          <w:rFonts w:hint="eastAsia" w:ascii="宋体" w:hAnsi="宋体" w:cs="宋体"/>
          <w:color w:val="auto"/>
          <w:sz w:val="22"/>
          <w:szCs w:val="22"/>
          <w:highlight w:val="none"/>
        </w:rPr>
        <w:t>。</w:t>
      </w:r>
    </w:p>
    <w:p w14:paraId="33DD26DE">
      <w:pPr>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7.2  在符合性审查、商务和技术评审时，如发现下列情形之一的，投标文件将被视为无效：</w:t>
      </w:r>
    </w:p>
    <w:p w14:paraId="54E606D3">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bCs/>
          <w:color w:val="auto"/>
          <w:sz w:val="22"/>
          <w:szCs w:val="22"/>
          <w:highlight w:val="none"/>
          <w:u w:val="single"/>
        </w:rPr>
        <w:t>投标文件未按招标文件要求签署、盖章的</w:t>
      </w:r>
      <w:r>
        <w:rPr>
          <w:rFonts w:hint="eastAsia" w:ascii="宋体" w:hAnsi="宋体" w:cs="宋体"/>
          <w:color w:val="auto"/>
          <w:sz w:val="22"/>
          <w:szCs w:val="22"/>
          <w:highlight w:val="none"/>
        </w:rPr>
        <w:t>；</w:t>
      </w:r>
    </w:p>
    <w:p w14:paraId="3FC025E7">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u w:val="single"/>
        </w:rPr>
        <w:t>投标文件中承诺的投标有效期少于招标文件中规定的投标有效期的；</w:t>
      </w:r>
    </w:p>
    <w:p w14:paraId="332C4B9A">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s="宋体"/>
          <w:color w:val="auto"/>
          <w:sz w:val="22"/>
          <w:highlight w:val="none"/>
          <w:u w:val="single"/>
        </w:rPr>
        <w:t>明显不符合招标文件规定的技术规格、技术标准要求或不满足主要技术参数的</w:t>
      </w:r>
      <w:r>
        <w:rPr>
          <w:rFonts w:hint="eastAsia" w:ascii="宋体" w:hAnsi="宋体" w:cs="宋体"/>
          <w:color w:val="auto"/>
          <w:sz w:val="22"/>
          <w:szCs w:val="22"/>
          <w:highlight w:val="none"/>
        </w:rPr>
        <w:t>；</w:t>
      </w:r>
    </w:p>
    <w:p w14:paraId="7E4460B7">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（4）</w:t>
      </w:r>
      <w:r>
        <w:rPr>
          <w:rFonts w:hint="eastAsia" w:ascii="宋体" w:hAnsi="宋体" w:cs="宋体"/>
          <w:color w:val="auto"/>
          <w:sz w:val="22"/>
          <w:szCs w:val="22"/>
          <w:highlight w:val="none"/>
          <w:u w:val="single"/>
        </w:rPr>
        <w:t>投标技术方案不明确，存在一个或一个以上备选（替代）投标方案的（招标文件有要求的除外）</w:t>
      </w:r>
      <w:r>
        <w:rPr>
          <w:rFonts w:hint="eastAsia" w:ascii="宋体" w:hAnsi="宋体" w:cs="宋体"/>
          <w:color w:val="auto"/>
          <w:sz w:val="22"/>
          <w:szCs w:val="22"/>
          <w:highlight w:val="none"/>
        </w:rPr>
        <w:t>；</w:t>
      </w:r>
    </w:p>
    <w:p w14:paraId="4A009F59">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（5）</w:t>
      </w:r>
      <w:r>
        <w:rPr>
          <w:rFonts w:hint="eastAsia" w:ascii="宋体" w:hAnsi="宋体" w:cs="宋体"/>
          <w:color w:val="auto"/>
          <w:sz w:val="22"/>
          <w:szCs w:val="22"/>
          <w:highlight w:val="none"/>
          <w:u w:val="single"/>
        </w:rPr>
        <w:t>投标文件含有采购人不能接受的附加条件的</w:t>
      </w:r>
      <w:r>
        <w:rPr>
          <w:rFonts w:hint="eastAsia" w:ascii="宋体" w:hAnsi="宋体" w:cs="宋体"/>
          <w:color w:val="auto"/>
          <w:sz w:val="22"/>
          <w:szCs w:val="22"/>
          <w:highlight w:val="none"/>
        </w:rPr>
        <w:t>；</w:t>
      </w:r>
    </w:p>
    <w:p w14:paraId="618F0376">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（6）</w:t>
      </w:r>
      <w:r>
        <w:rPr>
          <w:rFonts w:hint="eastAsia" w:ascii="宋体" w:hAnsi="宋体" w:cs="宋体"/>
          <w:color w:val="auto"/>
          <w:sz w:val="22"/>
          <w:szCs w:val="22"/>
          <w:highlight w:val="none"/>
          <w:u w:val="single"/>
        </w:rPr>
        <w:t>采购人拟采购的产品属于政府强制采购的节能产品品目清单范围的，供应商响应的产品未获得国家确定的认证机构出具的、处于有效期之内的节能产品认证证书</w:t>
      </w:r>
      <w:r>
        <w:rPr>
          <w:rFonts w:hint="eastAsia" w:ascii="宋体" w:hAnsi="宋体" w:cs="宋体"/>
          <w:color w:val="auto"/>
          <w:sz w:val="22"/>
          <w:szCs w:val="22"/>
          <w:highlight w:val="none"/>
        </w:rPr>
        <w:t>；</w:t>
      </w:r>
    </w:p>
    <w:p w14:paraId="7C86F85B">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（7）</w:t>
      </w:r>
      <w:r>
        <w:rPr>
          <w:rFonts w:hint="eastAsia" w:ascii="宋体" w:hAnsi="宋体" w:cs="宋体"/>
          <w:color w:val="auto"/>
          <w:sz w:val="22"/>
          <w:szCs w:val="22"/>
          <w:highlight w:val="none"/>
          <w:u w:val="single"/>
        </w:rPr>
        <w:t>要求提供样品的项目，投标人未提供样品或提供样品不满足采购需求实质性条件或样品不全的</w:t>
      </w:r>
      <w:r>
        <w:rPr>
          <w:rFonts w:hint="eastAsia" w:ascii="宋体" w:hAnsi="宋体" w:cs="宋体"/>
          <w:color w:val="auto"/>
          <w:sz w:val="22"/>
          <w:szCs w:val="22"/>
          <w:highlight w:val="none"/>
        </w:rPr>
        <w:t>；</w:t>
      </w:r>
    </w:p>
    <w:p w14:paraId="3F83C86E">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（8）</w:t>
      </w:r>
      <w:r>
        <w:rPr>
          <w:rFonts w:hint="eastAsia" w:ascii="宋体" w:hAnsi="宋体" w:cs="宋体"/>
          <w:color w:val="auto"/>
          <w:sz w:val="22"/>
          <w:highlight w:val="none"/>
          <w:u w:val="single"/>
        </w:rPr>
        <w:t>商务技术文件中出现投标报价的</w:t>
      </w:r>
      <w:r>
        <w:rPr>
          <w:rFonts w:hint="eastAsia" w:ascii="宋体" w:hAnsi="宋体" w:cs="宋体"/>
          <w:color w:val="auto"/>
          <w:sz w:val="22"/>
          <w:szCs w:val="22"/>
          <w:highlight w:val="none"/>
        </w:rPr>
        <w:t>；</w:t>
      </w:r>
    </w:p>
    <w:p w14:paraId="5C64BBF4">
      <w:pPr>
        <w:spacing w:line="440" w:lineRule="exact"/>
        <w:rPr>
          <w:rFonts w:ascii="宋体" w:hAnsi="宋体" w:cs="宋体"/>
          <w:bCs/>
          <w:color w:val="auto"/>
          <w:sz w:val="22"/>
          <w:szCs w:val="22"/>
          <w:highlight w:val="none"/>
          <w:u w:val="single"/>
        </w:rPr>
      </w:pPr>
      <w:r>
        <w:rPr>
          <w:rFonts w:hint="eastAsia" w:ascii="宋体" w:hAnsi="宋体" w:cs="宋体"/>
          <w:bCs/>
          <w:color w:val="auto"/>
          <w:sz w:val="22"/>
          <w:szCs w:val="22"/>
          <w:highlight w:val="none"/>
        </w:rPr>
        <w:t>（9）</w:t>
      </w:r>
      <w:r>
        <w:rPr>
          <w:rFonts w:hint="eastAsia" w:ascii="宋体" w:hAnsi="宋体" w:cs="宋体"/>
          <w:bCs/>
          <w:color w:val="auto"/>
          <w:sz w:val="22"/>
          <w:szCs w:val="22"/>
          <w:highlight w:val="none"/>
          <w:u w:val="single"/>
        </w:rPr>
        <w:t>投标文件内容不全或关键字迹模糊无法辨认的</w:t>
      </w:r>
      <w:r>
        <w:rPr>
          <w:rFonts w:hint="eastAsia" w:ascii="宋体" w:hAnsi="宋体" w:cs="宋体"/>
          <w:bCs/>
          <w:color w:val="auto"/>
          <w:sz w:val="22"/>
          <w:szCs w:val="22"/>
          <w:highlight w:val="none"/>
        </w:rPr>
        <w:t>；</w:t>
      </w:r>
    </w:p>
    <w:p w14:paraId="18C300D0">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（10）</w:t>
      </w:r>
      <w:r>
        <w:rPr>
          <w:rFonts w:hint="eastAsia" w:ascii="宋体" w:hAnsi="宋体" w:cs="宋体"/>
          <w:bCs/>
          <w:color w:val="auto"/>
          <w:sz w:val="22"/>
          <w:szCs w:val="22"/>
          <w:highlight w:val="none"/>
          <w:u w:val="single"/>
        </w:rPr>
        <w:t>法律、法规和招标文件规定的其他无效情形</w:t>
      </w:r>
      <w:r>
        <w:rPr>
          <w:rFonts w:hint="eastAsia" w:ascii="宋体" w:hAnsi="宋体" w:cs="宋体"/>
          <w:color w:val="auto"/>
          <w:sz w:val="22"/>
          <w:szCs w:val="22"/>
          <w:highlight w:val="none"/>
        </w:rPr>
        <w:t>。</w:t>
      </w:r>
    </w:p>
    <w:p w14:paraId="0C609CFC">
      <w:pPr>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7.3  在报价评审时，如发现下列情形之一的，投标文件将被视为无效：</w:t>
      </w:r>
    </w:p>
    <w:p w14:paraId="73FA05BB">
      <w:pPr>
        <w:tabs>
          <w:tab w:val="left" w:pos="1365"/>
        </w:tabs>
        <w:spacing w:line="440" w:lineRule="exact"/>
        <w:ind w:left="550" w:hanging="550" w:hangingChars="25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（1）</w:t>
      </w:r>
      <w:r>
        <w:rPr>
          <w:rFonts w:hint="eastAsia" w:ascii="宋体" w:hAnsi="宋体" w:cs="宋体"/>
          <w:color w:val="auto"/>
          <w:sz w:val="22"/>
          <w:szCs w:val="22"/>
          <w:highlight w:val="none"/>
          <w:u w:val="single"/>
          <w:lang w:val="zh-CN"/>
        </w:rPr>
        <w:t>投标报价超过招标文件中规定的预算金额或者最高限价的</w:t>
      </w:r>
      <w:r>
        <w:rPr>
          <w:rFonts w:hint="eastAsia" w:ascii="宋体" w:hAnsi="宋体" w:cs="宋体"/>
          <w:color w:val="auto"/>
          <w:sz w:val="22"/>
          <w:szCs w:val="22"/>
          <w:highlight w:val="none"/>
          <w:lang w:val="zh-CN"/>
        </w:rPr>
        <w:t>；</w:t>
      </w:r>
    </w:p>
    <w:p w14:paraId="69F2069E">
      <w:pPr>
        <w:tabs>
          <w:tab w:val="left" w:pos="1365"/>
        </w:tabs>
        <w:spacing w:line="440" w:lineRule="exact"/>
        <w:ind w:left="550" w:hanging="550" w:hangingChars="25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（2）</w:t>
      </w:r>
      <w:r>
        <w:rPr>
          <w:rFonts w:hint="eastAsia" w:ascii="宋体" w:hAnsi="宋体" w:cs="宋体"/>
          <w:color w:val="auto"/>
          <w:sz w:val="22"/>
          <w:szCs w:val="22"/>
          <w:highlight w:val="none"/>
          <w:u w:val="single"/>
          <w:lang w:val="zh-CN"/>
        </w:rPr>
        <w:t>投标文件出现不是唯一的、有选择性投标报价的</w:t>
      </w:r>
      <w:r>
        <w:rPr>
          <w:rFonts w:hint="eastAsia" w:ascii="宋体" w:hAnsi="宋体" w:cs="宋体"/>
          <w:color w:val="auto"/>
          <w:sz w:val="22"/>
          <w:szCs w:val="22"/>
          <w:highlight w:val="none"/>
          <w:lang w:val="zh-CN"/>
        </w:rPr>
        <w:t>；</w:t>
      </w:r>
    </w:p>
    <w:p w14:paraId="6C2CA859">
      <w:pPr>
        <w:tabs>
          <w:tab w:val="left" w:pos="1365"/>
        </w:tabs>
        <w:spacing w:line="440" w:lineRule="exact"/>
        <w:ind w:left="550" w:hanging="550" w:hangingChars="25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（3）</w:t>
      </w:r>
      <w:r>
        <w:rPr>
          <w:rFonts w:hint="eastAsia" w:ascii="宋体" w:hAnsi="宋体" w:cs="宋体"/>
          <w:color w:val="auto"/>
          <w:sz w:val="22"/>
          <w:szCs w:val="22"/>
          <w:highlight w:val="none"/>
          <w:u w:val="single"/>
          <w:lang w:val="zh-CN"/>
        </w:rPr>
        <w:t>投标人对根据修正原则修正后的报价不确认的</w:t>
      </w:r>
      <w:r>
        <w:rPr>
          <w:rFonts w:hint="eastAsia" w:ascii="宋体" w:hAnsi="宋体" w:cs="宋体"/>
          <w:color w:val="auto"/>
          <w:sz w:val="22"/>
          <w:szCs w:val="22"/>
          <w:highlight w:val="none"/>
          <w:lang w:val="zh-CN"/>
        </w:rPr>
        <w:t>；</w:t>
      </w:r>
    </w:p>
    <w:p w14:paraId="3BA0E345">
      <w:pPr>
        <w:tabs>
          <w:tab w:val="left" w:pos="1365"/>
        </w:tabs>
        <w:spacing w:line="440" w:lineRule="exact"/>
        <w:ind w:left="550" w:hanging="550" w:hangingChars="25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（4）</w:t>
      </w:r>
      <w:r>
        <w:rPr>
          <w:rFonts w:hint="eastAsia" w:ascii="宋体" w:hAnsi="宋体" w:cs="宋体"/>
          <w:color w:val="auto"/>
          <w:sz w:val="22"/>
          <w:szCs w:val="22"/>
          <w:highlight w:val="none"/>
          <w:u w:val="single"/>
          <w:lang w:val="zh-CN"/>
        </w:rPr>
        <w:t>投标报价不符合招标文件规定要求进行报价的</w:t>
      </w:r>
      <w:r>
        <w:rPr>
          <w:rFonts w:hint="eastAsia" w:ascii="宋体" w:hAnsi="宋体" w:cs="宋体"/>
          <w:color w:val="auto"/>
          <w:sz w:val="22"/>
          <w:szCs w:val="22"/>
          <w:highlight w:val="none"/>
          <w:lang w:val="zh-CN"/>
        </w:rPr>
        <w:t>；</w:t>
      </w:r>
    </w:p>
    <w:p w14:paraId="15B040A7">
      <w:pPr>
        <w:tabs>
          <w:tab w:val="left" w:pos="1365"/>
        </w:tabs>
        <w:spacing w:line="440" w:lineRule="exact"/>
        <w:ind w:left="550" w:hanging="550" w:hangingChars="25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（5）</w:t>
      </w:r>
      <w:r>
        <w:rPr>
          <w:rFonts w:hint="eastAsia" w:ascii="宋体" w:hAnsi="宋体" w:cs="宋体"/>
          <w:color w:val="auto"/>
          <w:sz w:val="22"/>
          <w:szCs w:val="22"/>
          <w:highlight w:val="none"/>
          <w:u w:val="single"/>
          <w:lang w:val="zh-CN"/>
        </w:rPr>
        <w:t>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14:paraId="62626417">
      <w:pPr>
        <w:tabs>
          <w:tab w:val="left" w:pos="1365"/>
        </w:tabs>
        <w:spacing w:line="440" w:lineRule="exact"/>
        <w:ind w:left="550" w:hanging="550" w:hangingChars="25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（6）</w:t>
      </w:r>
      <w:r>
        <w:rPr>
          <w:rFonts w:hint="eastAsia" w:ascii="宋体" w:hAnsi="宋体" w:cs="宋体"/>
          <w:color w:val="auto"/>
          <w:sz w:val="22"/>
          <w:szCs w:val="22"/>
          <w:highlight w:val="none"/>
          <w:u w:val="single"/>
          <w:lang w:val="zh-CN"/>
        </w:rPr>
        <w:t>法律、法规和招标文件规定的其他无效情形</w:t>
      </w:r>
      <w:r>
        <w:rPr>
          <w:rFonts w:hint="eastAsia" w:ascii="宋体" w:hAnsi="宋体" w:cs="宋体"/>
          <w:color w:val="auto"/>
          <w:sz w:val="22"/>
          <w:szCs w:val="22"/>
          <w:highlight w:val="none"/>
          <w:lang w:val="zh-CN"/>
        </w:rPr>
        <w:t>。</w:t>
      </w:r>
    </w:p>
    <w:p w14:paraId="20F460B0">
      <w:pPr>
        <w:spacing w:line="440" w:lineRule="exact"/>
        <w:rPr>
          <w:rFonts w:ascii="宋体" w:hAnsi="宋体" w:cs="宋体"/>
          <w:color w:val="auto"/>
          <w:sz w:val="22"/>
          <w:highlight w:val="none"/>
        </w:rPr>
      </w:pPr>
      <w:r>
        <w:rPr>
          <w:rFonts w:hint="eastAsia" w:ascii="宋体" w:hAnsi="宋体" w:cs="宋体"/>
          <w:b/>
          <w:color w:val="auto"/>
          <w:sz w:val="22"/>
          <w:szCs w:val="22"/>
          <w:highlight w:val="none"/>
        </w:rPr>
        <w:t>7.4  出现下列串通行为的，投标文件将被视为无效：</w:t>
      </w:r>
    </w:p>
    <w:p w14:paraId="6F556497">
      <w:pPr>
        <w:spacing w:line="440" w:lineRule="exact"/>
        <w:rPr>
          <w:rFonts w:ascii="宋体" w:hAnsi="宋体" w:cs="宋体"/>
          <w:bCs/>
          <w:color w:val="auto"/>
          <w:sz w:val="22"/>
          <w:szCs w:val="22"/>
          <w:highlight w:val="none"/>
          <w:u w:val="single"/>
        </w:rPr>
      </w:pPr>
      <w:r>
        <w:rPr>
          <w:rFonts w:hint="eastAsia" w:ascii="宋体" w:hAnsi="宋体" w:cs="宋体"/>
          <w:bCs/>
          <w:color w:val="auto"/>
          <w:sz w:val="22"/>
          <w:szCs w:val="22"/>
          <w:highlight w:val="none"/>
        </w:rPr>
        <w:t>（1）</w:t>
      </w:r>
      <w:r>
        <w:rPr>
          <w:rFonts w:hint="eastAsia" w:ascii="宋体" w:hAnsi="宋体" w:cs="宋体"/>
          <w:bCs/>
          <w:color w:val="auto"/>
          <w:sz w:val="22"/>
          <w:szCs w:val="22"/>
          <w:highlight w:val="none"/>
          <w:u w:val="single"/>
        </w:rPr>
        <w:t>不同投标人的投标文件内容存在三处（含）以上错误一致且无法合理解释的；</w:t>
      </w:r>
    </w:p>
    <w:p w14:paraId="2495F98D">
      <w:pPr>
        <w:spacing w:line="440" w:lineRule="exact"/>
        <w:rPr>
          <w:rFonts w:ascii="宋体" w:hAnsi="宋体" w:cs="宋体"/>
          <w:bCs/>
          <w:color w:val="auto"/>
          <w:sz w:val="22"/>
          <w:szCs w:val="22"/>
          <w:highlight w:val="none"/>
          <w:u w:val="single"/>
        </w:rPr>
      </w:pPr>
      <w:r>
        <w:rPr>
          <w:rFonts w:hint="eastAsia" w:ascii="宋体" w:hAnsi="宋体" w:cs="宋体"/>
          <w:bCs/>
          <w:color w:val="auto"/>
          <w:sz w:val="22"/>
          <w:szCs w:val="22"/>
          <w:highlight w:val="none"/>
        </w:rPr>
        <w:t>（2）</w:t>
      </w:r>
      <w:r>
        <w:rPr>
          <w:rFonts w:hint="eastAsia" w:ascii="宋体" w:hAnsi="宋体" w:cs="宋体"/>
          <w:bCs/>
          <w:color w:val="auto"/>
          <w:sz w:val="22"/>
          <w:szCs w:val="22"/>
          <w:highlight w:val="none"/>
          <w:u w:val="single"/>
        </w:rPr>
        <w:t>不同投标人联系人为同一人或不同联系人的联系电话一致且无法合理解释的；</w:t>
      </w:r>
    </w:p>
    <w:p w14:paraId="2572BE3A">
      <w:pPr>
        <w:tabs>
          <w:tab w:val="left" w:pos="1365"/>
        </w:tabs>
        <w:spacing w:line="440" w:lineRule="exact"/>
        <w:ind w:left="550" w:hanging="550" w:hangingChars="250"/>
        <w:rPr>
          <w:rFonts w:ascii="宋体" w:hAnsi="宋体" w:cs="宋体"/>
          <w:color w:val="auto"/>
          <w:sz w:val="22"/>
          <w:szCs w:val="22"/>
          <w:highlight w:val="none"/>
          <w:u w:val="single"/>
          <w:lang w:val="zh-CN"/>
        </w:rPr>
      </w:pPr>
      <w:r>
        <w:rPr>
          <w:rFonts w:hint="eastAsia" w:ascii="宋体" w:hAnsi="宋体" w:cs="宋体"/>
          <w:color w:val="auto"/>
          <w:sz w:val="22"/>
          <w:szCs w:val="22"/>
          <w:highlight w:val="none"/>
          <w:lang w:val="zh-CN"/>
        </w:rPr>
        <w:t>（3）</w:t>
      </w:r>
      <w:r>
        <w:rPr>
          <w:rFonts w:hint="eastAsia" w:ascii="宋体" w:hAnsi="宋体" w:cs="宋体"/>
          <w:color w:val="auto"/>
          <w:sz w:val="22"/>
          <w:szCs w:val="22"/>
          <w:highlight w:val="none"/>
          <w:u w:val="single"/>
          <w:lang w:val="zh-CN"/>
        </w:rPr>
        <w:t>参与同一个采购包(标项)的供应商存在下列情形之一的，其投标无效：</w:t>
      </w:r>
    </w:p>
    <w:p w14:paraId="5988D692">
      <w:pPr>
        <w:tabs>
          <w:tab w:val="left" w:pos="1365"/>
        </w:tabs>
        <w:spacing w:line="440" w:lineRule="exact"/>
        <w:ind w:left="547" w:leftChars="208" w:hanging="110" w:hangingChars="50"/>
        <w:rPr>
          <w:rFonts w:ascii="宋体" w:hAnsi="宋体" w:cs="宋体"/>
          <w:color w:val="auto"/>
          <w:sz w:val="22"/>
          <w:szCs w:val="22"/>
          <w:highlight w:val="none"/>
          <w:u w:val="single"/>
          <w:lang w:val="zh-CN"/>
        </w:rPr>
      </w:pPr>
      <w:r>
        <w:rPr>
          <w:rFonts w:hint="eastAsia" w:ascii="宋体" w:hAnsi="宋体" w:cs="宋体"/>
          <w:color w:val="auto"/>
          <w:sz w:val="22"/>
          <w:szCs w:val="22"/>
          <w:highlight w:val="none"/>
          <w:u w:val="single"/>
          <w:lang w:val="zh-CN"/>
        </w:rPr>
        <w:t>①不同供应商的电子响应文件上传计算机的IP 地址、</w:t>
      </w:r>
      <w:r>
        <w:rPr>
          <w:rFonts w:hint="eastAsia" w:ascii="宋体" w:hAnsi="宋体" w:cs="宋体"/>
          <w:color w:val="auto"/>
          <w:sz w:val="22"/>
          <w:szCs w:val="22"/>
          <w:highlight w:val="none"/>
          <w:u w:val="single"/>
        </w:rPr>
        <w:t>M</w:t>
      </w:r>
      <w:r>
        <w:rPr>
          <w:rFonts w:hint="eastAsia" w:ascii="宋体" w:hAnsi="宋体" w:cs="宋体"/>
          <w:color w:val="auto"/>
          <w:sz w:val="22"/>
          <w:szCs w:val="22"/>
          <w:highlight w:val="none"/>
          <w:u w:val="single"/>
          <w:lang w:val="zh-CN"/>
        </w:rPr>
        <w:t>AC地址、硬盘序列号等硬件信息相同的；</w:t>
      </w:r>
    </w:p>
    <w:p w14:paraId="6278FC33">
      <w:pPr>
        <w:tabs>
          <w:tab w:val="left" w:pos="1365"/>
        </w:tabs>
        <w:spacing w:line="440" w:lineRule="exact"/>
        <w:ind w:left="547" w:leftChars="208" w:hanging="110" w:hangingChars="50"/>
        <w:rPr>
          <w:rFonts w:ascii="宋体" w:hAnsi="宋体" w:cs="宋体"/>
          <w:color w:val="auto"/>
          <w:sz w:val="22"/>
          <w:szCs w:val="22"/>
          <w:highlight w:val="none"/>
          <w:u w:val="single"/>
          <w:lang w:val="zh-CN"/>
        </w:rPr>
      </w:pPr>
      <w:r>
        <w:rPr>
          <w:rFonts w:hint="eastAsia" w:ascii="宋体" w:hAnsi="宋体" w:cs="宋体"/>
          <w:color w:val="auto"/>
          <w:sz w:val="22"/>
          <w:szCs w:val="22"/>
          <w:highlight w:val="none"/>
          <w:u w:val="single"/>
          <w:lang w:val="zh-CN"/>
        </w:rPr>
        <w:t>②上传的电子响应文件若出现使用本项目其他响应供应商的数字证书加密的，或者加盖本项目其</w:t>
      </w:r>
    </w:p>
    <w:p w14:paraId="55142F40">
      <w:pPr>
        <w:tabs>
          <w:tab w:val="left" w:pos="1365"/>
        </w:tabs>
        <w:spacing w:line="440" w:lineRule="exact"/>
        <w:ind w:left="553" w:leftChars="211" w:hanging="110" w:hangingChars="50"/>
        <w:rPr>
          <w:rFonts w:ascii="宋体" w:hAnsi="宋体" w:cs="宋体"/>
          <w:color w:val="auto"/>
          <w:sz w:val="22"/>
          <w:szCs w:val="22"/>
          <w:highlight w:val="none"/>
          <w:u w:val="single"/>
          <w:lang w:val="zh-CN"/>
        </w:rPr>
      </w:pPr>
      <w:r>
        <w:rPr>
          <w:rFonts w:hint="eastAsia" w:ascii="宋体" w:hAnsi="宋体" w:cs="宋体"/>
          <w:color w:val="auto"/>
          <w:sz w:val="22"/>
          <w:szCs w:val="22"/>
          <w:highlight w:val="none"/>
          <w:u w:val="single"/>
          <w:lang w:val="zh-CN"/>
        </w:rPr>
        <w:t>他响应供应商的电子印章的；</w:t>
      </w:r>
    </w:p>
    <w:p w14:paraId="4287C6D1">
      <w:pPr>
        <w:spacing w:line="440" w:lineRule="exact"/>
        <w:rPr>
          <w:rFonts w:ascii="宋体" w:hAnsi="宋体" w:cs="宋体"/>
          <w:color w:val="auto"/>
          <w:sz w:val="22"/>
          <w:highlight w:val="none"/>
          <w:u w:val="single"/>
        </w:rPr>
      </w:pPr>
      <w:r>
        <w:rPr>
          <w:rFonts w:hint="eastAsia" w:ascii="宋体" w:hAnsi="宋体" w:cs="宋体"/>
          <w:bCs/>
          <w:color w:val="auto"/>
          <w:sz w:val="22"/>
          <w:szCs w:val="22"/>
          <w:highlight w:val="none"/>
        </w:rPr>
        <w:t>（4）</w:t>
      </w:r>
      <w:r>
        <w:rPr>
          <w:rFonts w:hint="eastAsia" w:ascii="宋体" w:hAnsi="宋体" w:cs="宋体"/>
          <w:bCs/>
          <w:color w:val="auto"/>
          <w:sz w:val="22"/>
          <w:szCs w:val="22"/>
          <w:highlight w:val="none"/>
          <w:u w:val="single"/>
        </w:rPr>
        <w:t>法律、法规和招标文件规定的串通行为。</w:t>
      </w:r>
    </w:p>
    <w:p w14:paraId="2095C5AD">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8.   评标过程中遇到特殊情况，由评标委员会遵循公开、公正原则，采取投票方式按照少数服从多数原则决定。</w:t>
      </w:r>
    </w:p>
    <w:p w14:paraId="50F9753B">
      <w:pPr>
        <w:tabs>
          <w:tab w:val="left" w:pos="1365"/>
        </w:tabs>
        <w:spacing w:line="440" w:lineRule="exact"/>
        <w:ind w:left="558" w:leftChars="4"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9.   优化评审管理</w:t>
      </w:r>
    </w:p>
    <w:p w14:paraId="2DED98DD">
      <w:pPr>
        <w:tabs>
          <w:tab w:val="left" w:pos="1365"/>
        </w:tabs>
        <w:spacing w:line="440" w:lineRule="exact"/>
        <w:ind w:left="8" w:leftChars="4" w:firstLine="550" w:firstLineChars="250"/>
        <w:rPr>
          <w:rFonts w:ascii="宋体" w:hAnsi="宋体" w:cs="宋体"/>
          <w:color w:val="auto"/>
          <w:sz w:val="22"/>
          <w:szCs w:val="22"/>
          <w:highlight w:val="none"/>
        </w:rPr>
      </w:pPr>
      <w:r>
        <w:rPr>
          <w:rFonts w:hint="eastAsia" w:ascii="宋体" w:hAnsi="宋体" w:cs="宋体"/>
          <w:color w:val="auto"/>
          <w:sz w:val="22"/>
          <w:szCs w:val="22"/>
          <w:highlight w:val="none"/>
        </w:rPr>
        <w:t>根据浙财采监〔2022〕</w:t>
      </w:r>
      <w:r>
        <w:rPr>
          <w:rFonts w:ascii="宋体" w:hAnsi="宋体" w:cs="宋体"/>
          <w:color w:val="auto"/>
          <w:sz w:val="22"/>
          <w:szCs w:val="22"/>
          <w:highlight w:val="none"/>
        </w:rPr>
        <w:t>8</w:t>
      </w:r>
      <w:r>
        <w:rPr>
          <w:rFonts w:hint="eastAsia" w:ascii="宋体" w:hAnsi="宋体" w:cs="宋体"/>
          <w:color w:val="auto"/>
          <w:sz w:val="22"/>
          <w:szCs w:val="22"/>
          <w:highlight w:val="none"/>
        </w:rPr>
        <w:t>号文相关的规定，</w:t>
      </w:r>
      <w:r>
        <w:rPr>
          <w:rFonts w:ascii="宋体" w:hAnsi="宋体" w:cs="宋体"/>
          <w:color w:val="auto"/>
          <w:sz w:val="22"/>
          <w:szCs w:val="22"/>
          <w:highlight w:val="none"/>
        </w:rPr>
        <w:t>评审小组成员个人主观打分偏离所有评审小组成员主</w:t>
      </w:r>
    </w:p>
    <w:p w14:paraId="1D43D89F">
      <w:pPr>
        <w:tabs>
          <w:tab w:val="left" w:pos="1365"/>
        </w:tabs>
        <w:spacing w:line="440" w:lineRule="exact"/>
        <w:ind w:left="8" w:leftChars="4" w:firstLine="550" w:firstLineChars="250"/>
        <w:rPr>
          <w:rFonts w:ascii="宋体" w:hAnsi="宋体"/>
          <w:b/>
          <w:color w:val="auto"/>
          <w:sz w:val="22"/>
          <w:highlight w:val="none"/>
        </w:rPr>
      </w:pPr>
      <w:r>
        <w:rPr>
          <w:rFonts w:ascii="宋体" w:hAnsi="宋体" w:cs="宋体"/>
          <w:color w:val="auto"/>
          <w:sz w:val="22"/>
          <w:szCs w:val="22"/>
          <w:highlight w:val="none"/>
        </w:rPr>
        <w:t>观打分平均值30%以上的，由评审委员会启动评分畸高、畸低行为认定程序。</w:t>
      </w:r>
    </w:p>
    <w:p w14:paraId="4E47BC25">
      <w:pPr>
        <w:tabs>
          <w:tab w:val="left" w:pos="1365"/>
        </w:tabs>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10． 推荐中标候选人</w:t>
      </w:r>
    </w:p>
    <w:p w14:paraId="0A3E0CED">
      <w:pPr>
        <w:tabs>
          <w:tab w:val="left" w:pos="1365"/>
        </w:tabs>
        <w:spacing w:line="440" w:lineRule="exact"/>
        <w:ind w:left="440" w:hanging="440" w:hangingChars="200"/>
        <w:rPr>
          <w:rFonts w:ascii="宋体" w:hAnsi="宋体" w:cs="宋体"/>
          <w:color w:val="auto"/>
          <w:sz w:val="22"/>
          <w:szCs w:val="22"/>
          <w:highlight w:val="none"/>
        </w:rPr>
      </w:pPr>
      <w:r>
        <w:rPr>
          <w:rFonts w:hint="eastAsia" w:ascii="宋体" w:hAnsi="宋体" w:cs="宋体"/>
          <w:color w:val="auto"/>
          <w:sz w:val="22"/>
          <w:szCs w:val="22"/>
          <w:highlight w:val="none"/>
        </w:rPr>
        <w:t>10.1 本次招标由评标委员会推2名中标候选人。</w:t>
      </w:r>
    </w:p>
    <w:p w14:paraId="2AE5B8A9">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10.2 评标委员会依据投标文件满足招标文件全部实质性要求，且按照评审因素的量化指标评审得分（即商务技术分与价格分之和）由高到低顺序排序，得分前二名的投标人推荐为该项目的第一和第二中标候选人（得分相同的，按投标报价由低到高排序；得分且投标报价相同的并列）。</w:t>
      </w:r>
    </w:p>
    <w:p w14:paraId="6CD7BF3C">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10.3 排名第一的中标候选人因自身原因放弃中标或因不可抗力不能履行合同的；或未能在规定时间内与采购人签订合同的；或经质疑，采购组织机构审查确认因排名第一的候选人在本次采购活动中存在违法违规行为或其他原因使质疑成立的，采购人可以直接确定排名第二的候选人为中标人。</w:t>
      </w:r>
    </w:p>
    <w:p w14:paraId="7839E06B">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1</w:t>
      </w:r>
      <w:r>
        <w:rPr>
          <w:rFonts w:ascii="宋体" w:hAnsi="宋体" w:cs="宋体"/>
          <w:color w:val="auto"/>
          <w:sz w:val="22"/>
          <w:szCs w:val="22"/>
          <w:highlight w:val="none"/>
        </w:rPr>
        <w:t>1</w:t>
      </w:r>
      <w:r>
        <w:rPr>
          <w:rFonts w:hint="eastAsia" w:ascii="宋体" w:hAnsi="宋体" w:cs="宋体"/>
          <w:color w:val="auto"/>
          <w:sz w:val="22"/>
          <w:szCs w:val="22"/>
          <w:highlight w:val="none"/>
        </w:rPr>
        <w:t>.  根据《中华人民共和国政府采购法》第三十六条之规定，在采购中，出现下列情形之一的，应予废标：</w:t>
      </w:r>
    </w:p>
    <w:p w14:paraId="04FA3DE8">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（1）符合专业条件的供应商或者对招标文件作实质响应的供应商不足3家的；</w:t>
      </w:r>
    </w:p>
    <w:p w14:paraId="2AE45382">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（2）出现影响采购公正的违法、违规行为的；</w:t>
      </w:r>
    </w:p>
    <w:p w14:paraId="21EAC011">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（3）投标人的报价均超过了采购预算，采购人不能支付的；</w:t>
      </w:r>
    </w:p>
    <w:p w14:paraId="24CADCCE">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（4）因重大变故，采购任务取消的。</w:t>
      </w:r>
    </w:p>
    <w:p w14:paraId="0C50279B">
      <w:pPr>
        <w:spacing w:line="440" w:lineRule="exact"/>
        <w:ind w:firstLine="550" w:firstLineChars="250"/>
        <w:rPr>
          <w:rFonts w:ascii="宋体" w:hAnsi="宋体" w:cs="宋体"/>
          <w:color w:val="auto"/>
          <w:sz w:val="22"/>
          <w:szCs w:val="22"/>
          <w:highlight w:val="none"/>
        </w:rPr>
      </w:pPr>
      <w:r>
        <w:rPr>
          <w:rFonts w:hint="eastAsia" w:ascii="宋体" w:hAnsi="宋体" w:cs="宋体"/>
          <w:color w:val="auto"/>
          <w:sz w:val="22"/>
          <w:szCs w:val="22"/>
          <w:highlight w:val="none"/>
        </w:rPr>
        <w:t>废标后，采购代理机构应当将废标理由通知所有投标人。</w:t>
      </w:r>
    </w:p>
    <w:p w14:paraId="30659653">
      <w:pPr>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12.  评标细则详见第六部分“评标原则及方法”。</w:t>
      </w:r>
    </w:p>
    <w:p w14:paraId="31B15B9E">
      <w:pPr>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13.  未尽事宜遵循相关法律法规及规范性文件执行。</w:t>
      </w:r>
    </w:p>
    <w:p w14:paraId="672805BB">
      <w:pPr>
        <w:pStyle w:val="3"/>
        <w:spacing w:line="680" w:lineRule="exact"/>
        <w:jc w:val="center"/>
        <w:rPr>
          <w:rFonts w:ascii="宋体" w:hAnsi="宋体" w:eastAsia="宋体" w:cs="宋体"/>
          <w:color w:val="auto"/>
          <w:sz w:val="28"/>
          <w:szCs w:val="28"/>
          <w:highlight w:val="none"/>
        </w:rPr>
      </w:pPr>
      <w:bookmarkStart w:id="40" w:name="_Toc230773780"/>
      <w:bookmarkStart w:id="41" w:name="_Toc23216"/>
      <w:r>
        <w:rPr>
          <w:rFonts w:hint="eastAsia" w:ascii="宋体" w:hAnsi="宋体" w:eastAsia="宋体" w:cs="宋体"/>
          <w:color w:val="auto"/>
          <w:sz w:val="28"/>
          <w:szCs w:val="28"/>
          <w:highlight w:val="none"/>
        </w:rPr>
        <w:t>六、 中标和合同</w:t>
      </w:r>
      <w:bookmarkEnd w:id="40"/>
      <w:bookmarkEnd w:id="41"/>
    </w:p>
    <w:p w14:paraId="5CE9F322">
      <w:pPr>
        <w:tabs>
          <w:tab w:val="left" w:pos="1365"/>
        </w:tabs>
        <w:spacing w:line="440" w:lineRule="exact"/>
        <w:ind w:left="552" w:hanging="552" w:hangingChars="250"/>
        <w:rPr>
          <w:rFonts w:ascii="宋体" w:hAnsi="宋体" w:cs="宋体"/>
          <w:b/>
          <w:color w:val="auto"/>
          <w:sz w:val="22"/>
          <w:szCs w:val="22"/>
          <w:highlight w:val="none"/>
        </w:rPr>
      </w:pPr>
      <w:r>
        <w:rPr>
          <w:rFonts w:hint="eastAsia" w:ascii="宋体" w:hAnsi="宋体" w:cs="宋体"/>
          <w:b/>
          <w:color w:val="auto"/>
          <w:sz w:val="22"/>
          <w:szCs w:val="22"/>
          <w:highlight w:val="none"/>
        </w:rPr>
        <w:t>1.   确定中标人</w:t>
      </w:r>
    </w:p>
    <w:p w14:paraId="30F58112">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1.1  采购代理机构应当在评标结束后2个工作日内将评标报告送采购人。</w:t>
      </w:r>
    </w:p>
    <w:p w14:paraId="431F5E51">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1.2  采购人应当自收到评标报告之日起5个工作日内，在评标报告确定的中标候选人名单中按顺序确定中标人。中标候选人并列的，由采购人采取随机抽取的方式确定。</w:t>
      </w:r>
    </w:p>
    <w:p w14:paraId="2FE3255F">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1.3  采购人在收到评标报告5个工作日内未按评标报告推荐的中标候选人顺序确定中标人，又不能说明合法理由的，视同按评标报告推荐的顺序确定排名第一的中标候选人为中标人。</w:t>
      </w:r>
    </w:p>
    <w:p w14:paraId="108502FF">
      <w:pPr>
        <w:spacing w:line="440" w:lineRule="exact"/>
        <w:rPr>
          <w:rFonts w:ascii="宋体" w:hAnsi="宋体" w:cs="宋体"/>
          <w:b/>
          <w:bCs/>
          <w:color w:val="auto"/>
          <w:sz w:val="22"/>
          <w:szCs w:val="22"/>
          <w:highlight w:val="none"/>
        </w:rPr>
      </w:pPr>
      <w:r>
        <w:rPr>
          <w:rFonts w:hint="eastAsia" w:ascii="宋体" w:hAnsi="宋体" w:cs="宋体"/>
          <w:bCs/>
          <w:color w:val="auto"/>
          <w:sz w:val="22"/>
          <w:szCs w:val="22"/>
          <w:highlight w:val="none"/>
        </w:rPr>
        <w:t xml:space="preserve">2.   </w:t>
      </w:r>
      <w:r>
        <w:rPr>
          <w:rFonts w:hint="eastAsia" w:ascii="宋体" w:hAnsi="宋体" w:cs="宋体"/>
          <w:b/>
          <w:bCs/>
          <w:color w:val="auto"/>
          <w:sz w:val="22"/>
          <w:szCs w:val="22"/>
          <w:highlight w:val="none"/>
        </w:rPr>
        <w:t>中标公告</w:t>
      </w:r>
    </w:p>
    <w:p w14:paraId="60F05518">
      <w:pPr>
        <w:spacing w:line="440" w:lineRule="exact"/>
        <w:ind w:left="550" w:hanging="550" w:hangingChars="250"/>
        <w:rPr>
          <w:rFonts w:ascii="宋体" w:hAnsi="宋体" w:cs="宋体"/>
          <w:b/>
          <w:bCs/>
          <w:color w:val="auto"/>
          <w:sz w:val="22"/>
          <w:szCs w:val="22"/>
          <w:highlight w:val="none"/>
        </w:rPr>
      </w:pPr>
      <w:r>
        <w:rPr>
          <w:rFonts w:hint="eastAsia" w:ascii="宋体" w:hAnsi="宋体" w:cs="宋体"/>
          <w:bCs/>
          <w:color w:val="auto"/>
          <w:sz w:val="22"/>
          <w:szCs w:val="22"/>
          <w:highlight w:val="none"/>
        </w:rPr>
        <w:t>2.1  采购人或者采购代理机构应当自中标人确定之日起2个工作日内，在省级以上财政部门指定的媒体上公告中标结果，招标文件应当随中标结果同时公告。</w:t>
      </w:r>
    </w:p>
    <w:p w14:paraId="10EA413F">
      <w:pPr>
        <w:spacing w:line="440" w:lineRule="exact"/>
        <w:ind w:left="440" w:hanging="440" w:hangingChars="200"/>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3.   </w:t>
      </w:r>
      <w:r>
        <w:rPr>
          <w:rFonts w:hint="eastAsia" w:ascii="宋体" w:hAnsi="宋体" w:cs="宋体"/>
          <w:b/>
          <w:bCs/>
          <w:color w:val="auto"/>
          <w:sz w:val="22"/>
          <w:szCs w:val="22"/>
          <w:highlight w:val="none"/>
        </w:rPr>
        <w:t>中标通知书</w:t>
      </w:r>
    </w:p>
    <w:p w14:paraId="4E76F301">
      <w:pPr>
        <w:spacing w:line="440" w:lineRule="exact"/>
        <w:ind w:left="440" w:hanging="440" w:hangingChars="200"/>
        <w:rPr>
          <w:rFonts w:ascii="宋体" w:hAnsi="宋体" w:cs="宋体"/>
          <w:bCs/>
          <w:color w:val="auto"/>
          <w:sz w:val="22"/>
          <w:szCs w:val="22"/>
          <w:highlight w:val="none"/>
        </w:rPr>
      </w:pPr>
      <w:r>
        <w:rPr>
          <w:rFonts w:hint="eastAsia" w:ascii="宋体" w:hAnsi="宋体" w:cs="宋体"/>
          <w:bCs/>
          <w:color w:val="auto"/>
          <w:sz w:val="22"/>
          <w:szCs w:val="22"/>
          <w:highlight w:val="none"/>
        </w:rPr>
        <w:t>3.1  在公告中标结果的同时</w:t>
      </w:r>
      <w:r>
        <w:rPr>
          <w:rFonts w:hint="eastAsia" w:ascii="宋体" w:hAnsi="宋体" w:cs="宋体"/>
          <w:color w:val="auto"/>
          <w:sz w:val="22"/>
          <w:szCs w:val="22"/>
          <w:highlight w:val="none"/>
        </w:rPr>
        <w:t>，采购人或采购代理机构向中标人发出中标通知书。</w:t>
      </w:r>
    </w:p>
    <w:p w14:paraId="4F34A25E">
      <w:pPr>
        <w:spacing w:line="440" w:lineRule="exact"/>
        <w:ind w:left="440" w:hanging="440" w:hangingChars="200"/>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3.2  </w:t>
      </w:r>
      <w:r>
        <w:rPr>
          <w:rFonts w:hint="eastAsia" w:ascii="宋体" w:hAnsi="宋体" w:cs="宋体"/>
          <w:color w:val="auto"/>
          <w:sz w:val="22"/>
          <w:szCs w:val="22"/>
          <w:highlight w:val="none"/>
        </w:rPr>
        <w:t>中标通知书是合同的一个组成部分,对采购人和中标人均具有同等法律效力。</w:t>
      </w:r>
    </w:p>
    <w:p w14:paraId="096FB17A">
      <w:pPr>
        <w:spacing w:line="440" w:lineRule="exact"/>
        <w:rPr>
          <w:rFonts w:ascii="宋体" w:hAnsi="宋体"/>
          <w:b/>
          <w:bCs/>
          <w:color w:val="auto"/>
          <w:sz w:val="22"/>
          <w:szCs w:val="22"/>
          <w:highlight w:val="none"/>
        </w:rPr>
      </w:pPr>
      <w:r>
        <w:rPr>
          <w:rFonts w:hint="eastAsia" w:ascii="宋体" w:hAnsi="宋体"/>
          <w:b/>
          <w:bCs/>
          <w:color w:val="auto"/>
          <w:sz w:val="22"/>
          <w:szCs w:val="22"/>
          <w:highlight w:val="none"/>
        </w:rPr>
        <w:t>4.   响应文件真实性复核</w:t>
      </w:r>
    </w:p>
    <w:p w14:paraId="037293A2">
      <w:pPr>
        <w:spacing w:line="440" w:lineRule="exact"/>
        <w:ind w:left="552" w:hanging="552" w:hangingChars="250"/>
        <w:rPr>
          <w:rFonts w:ascii="宋体" w:hAnsi="宋体"/>
          <w:b/>
          <w:bCs/>
          <w:color w:val="auto"/>
          <w:sz w:val="22"/>
          <w:szCs w:val="22"/>
          <w:highlight w:val="none"/>
        </w:rPr>
      </w:pPr>
      <w:r>
        <w:rPr>
          <w:rFonts w:hint="eastAsia" w:ascii="宋体" w:hAnsi="宋体"/>
          <w:b/>
          <w:bCs/>
          <w:color w:val="auto"/>
          <w:sz w:val="22"/>
          <w:szCs w:val="22"/>
          <w:highlight w:val="none"/>
        </w:rPr>
        <w:t>4.1  根据《浙江省财政厅关于进一步规范政府采购秩序促进公平竞争的通知》（浙财采监〔2025〕2号）第三条第（二）款的规定，在评审结束后、合同签订前，采购人、采购代理机构应及时通过网站查询、原件核对等方式对中标（成交）供应商在响应文件中涉及客观分评审内容的检测报告、认证证书等资料的真实性进行复核，复核情况详细记录，并纳入采购档案。发现供应商提供虚假材料的，及时书面报告本级财政部门。</w:t>
      </w:r>
    </w:p>
    <w:p w14:paraId="58DAF0F0">
      <w:pPr>
        <w:spacing w:line="440" w:lineRule="exact"/>
        <w:ind w:left="440" w:hanging="440" w:hangingChars="200"/>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5.   </w:t>
      </w:r>
      <w:r>
        <w:rPr>
          <w:rFonts w:hint="eastAsia" w:ascii="宋体" w:hAnsi="宋体" w:cs="宋体"/>
          <w:b/>
          <w:bCs/>
          <w:color w:val="auto"/>
          <w:sz w:val="22"/>
          <w:szCs w:val="22"/>
          <w:highlight w:val="none"/>
        </w:rPr>
        <w:t>签订合同</w:t>
      </w:r>
    </w:p>
    <w:p w14:paraId="34931BCD">
      <w:pPr>
        <w:spacing w:line="440" w:lineRule="exact"/>
        <w:ind w:left="550"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rPr>
        <w:t>5.1  采购人应当自中标通知书发出之日起</w:t>
      </w:r>
      <w:r>
        <w:rPr>
          <w:rFonts w:ascii="宋体" w:hAnsi="宋体" w:cs="宋体"/>
          <w:bCs/>
          <w:color w:val="auto"/>
          <w:sz w:val="22"/>
          <w:szCs w:val="22"/>
          <w:highlight w:val="none"/>
        </w:rPr>
        <w:t>30</w:t>
      </w:r>
      <w:r>
        <w:rPr>
          <w:rFonts w:hint="eastAsia" w:ascii="宋体" w:hAnsi="宋体" w:cs="宋体"/>
          <w:bCs/>
          <w:color w:val="auto"/>
          <w:sz w:val="22"/>
          <w:szCs w:val="22"/>
          <w:highlight w:val="none"/>
        </w:rPr>
        <w:t>日内，按照招标文件和中标人投标文件的规定，与中标人签订书面合同。所签订的合同不得对招标文件确定的事项和中标人投标文件作实质性修改。</w:t>
      </w:r>
    </w:p>
    <w:p w14:paraId="04D845FF">
      <w:pPr>
        <w:spacing w:line="440" w:lineRule="exact"/>
        <w:ind w:left="550" w:hanging="550" w:hangingChars="250"/>
        <w:rPr>
          <w:rFonts w:ascii="宋体" w:hAnsi="宋体" w:cs="宋体"/>
          <w:bCs/>
          <w:color w:val="auto"/>
          <w:sz w:val="22"/>
          <w:szCs w:val="22"/>
          <w:highlight w:val="none"/>
        </w:rPr>
      </w:pPr>
      <w:r>
        <w:rPr>
          <w:rFonts w:hint="eastAsia" w:ascii="宋体" w:hAnsi="宋体" w:cs="宋体"/>
          <w:color w:val="auto"/>
          <w:sz w:val="22"/>
          <w:szCs w:val="22"/>
          <w:highlight w:val="none"/>
        </w:rPr>
        <w:t xml:space="preserve">5.2  </w:t>
      </w:r>
      <w:r>
        <w:rPr>
          <w:rFonts w:hint="eastAsia" w:ascii="宋体" w:hAnsi="宋体" w:cs="宋体"/>
          <w:color w:val="auto"/>
          <w:spacing w:val="6"/>
          <w:sz w:val="22"/>
          <w:szCs w:val="22"/>
          <w:highlight w:val="none"/>
        </w:rPr>
        <w:t>在签订合同前，采购人有权在中标总价不变的前提下要求中标人对商务报价中的不平衡报价和缺漏项进行调整，如果中标人无合理理由拒绝调整，其中标资格将被取消，且将导致其它进一步的赔偿和处罚。</w:t>
      </w:r>
    </w:p>
    <w:p w14:paraId="3A3474AB">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5.3  招标文件、中标人的投标文件、投标修改文件、评标过程中有关澄清文件及经投标人和评委双方签字的询标纪要和中标通知书均作为合同附件。</w:t>
      </w:r>
    </w:p>
    <w:p w14:paraId="7BC26115">
      <w:pPr>
        <w:spacing w:line="440" w:lineRule="exact"/>
        <w:ind w:left="440" w:hanging="440" w:hangingChars="200"/>
        <w:rPr>
          <w:rFonts w:ascii="宋体" w:hAnsi="宋体" w:cs="宋体"/>
          <w:bCs/>
          <w:color w:val="auto"/>
          <w:sz w:val="22"/>
          <w:szCs w:val="22"/>
          <w:highlight w:val="none"/>
        </w:rPr>
      </w:pPr>
      <w:r>
        <w:rPr>
          <w:rFonts w:hint="eastAsia" w:ascii="宋体" w:hAnsi="宋体" w:cs="宋体"/>
          <w:bCs/>
          <w:color w:val="auto"/>
          <w:sz w:val="22"/>
          <w:szCs w:val="22"/>
          <w:highlight w:val="none"/>
        </w:rPr>
        <w:t>5.4  采购人不得向中标人提出任何不合理的要求作为签订合同的条件。</w:t>
      </w:r>
    </w:p>
    <w:p w14:paraId="12178AF6">
      <w:pPr>
        <w:spacing w:line="440" w:lineRule="exact"/>
        <w:ind w:left="440" w:hanging="440" w:hangingChars="200"/>
        <w:rPr>
          <w:rFonts w:ascii="宋体" w:hAnsi="宋体" w:cs="宋体"/>
          <w:bCs/>
          <w:color w:val="auto"/>
          <w:sz w:val="22"/>
          <w:szCs w:val="22"/>
          <w:highlight w:val="none"/>
        </w:rPr>
      </w:pPr>
      <w:r>
        <w:rPr>
          <w:rFonts w:hint="eastAsia" w:ascii="宋体" w:hAnsi="宋体" w:cs="宋体"/>
          <w:color w:val="auto"/>
          <w:sz w:val="22"/>
          <w:szCs w:val="22"/>
          <w:highlight w:val="none"/>
        </w:rPr>
        <w:t>5.5  拒签合同的违约责任</w:t>
      </w:r>
    </w:p>
    <w:p w14:paraId="7E81717E">
      <w:pPr>
        <w:spacing w:line="440" w:lineRule="exact"/>
        <w:ind w:left="565" w:leftChars="269"/>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中标人接到中标通知书后，在规定时间内借故否认已经承诺的条件而拒签合同的，以违约处理。</w:t>
      </w:r>
    </w:p>
    <w:p w14:paraId="7CAD54BB">
      <w:pPr>
        <w:spacing w:line="440" w:lineRule="exact"/>
        <w:ind w:left="571" w:hanging="571" w:hangingChars="245"/>
        <w:rPr>
          <w:rFonts w:ascii="宋体" w:hAnsi="宋体" w:cs="宋体"/>
          <w:b/>
          <w:color w:val="auto"/>
          <w:spacing w:val="6"/>
          <w:sz w:val="22"/>
          <w:szCs w:val="22"/>
          <w:highlight w:val="none"/>
          <w:shd w:val="pct10" w:color="auto" w:fill="FFFFFF"/>
        </w:rPr>
      </w:pPr>
      <w:r>
        <w:rPr>
          <w:rFonts w:hint="eastAsia" w:ascii="宋体" w:hAnsi="宋体" w:cs="宋体"/>
          <w:b/>
          <w:color w:val="auto"/>
          <w:spacing w:val="6"/>
          <w:sz w:val="22"/>
          <w:szCs w:val="22"/>
          <w:highlight w:val="none"/>
        </w:rPr>
        <w:t>5.6  合同一式五份，其中采购人二份，中标人二份，采购代理机构备案一份。中标人在采购合同签订后应及时提交壹份交采购代理机构备案。</w:t>
      </w:r>
    </w:p>
    <w:p w14:paraId="0BEB3BBD">
      <w:pPr>
        <w:spacing w:line="440" w:lineRule="exact"/>
        <w:rPr>
          <w:rFonts w:ascii="宋体" w:hAnsi="宋体" w:cs="宋体"/>
          <w:b/>
          <w:color w:val="auto"/>
          <w:spacing w:val="6"/>
          <w:sz w:val="22"/>
          <w:szCs w:val="22"/>
          <w:highlight w:val="none"/>
        </w:rPr>
      </w:pPr>
      <w:r>
        <w:rPr>
          <w:rFonts w:hint="eastAsia" w:ascii="宋体" w:hAnsi="宋体" w:cs="宋体"/>
          <w:color w:val="auto"/>
          <w:spacing w:val="6"/>
          <w:sz w:val="22"/>
          <w:szCs w:val="22"/>
          <w:highlight w:val="none"/>
        </w:rPr>
        <w:t xml:space="preserve">6.   </w:t>
      </w:r>
      <w:r>
        <w:rPr>
          <w:rFonts w:hint="eastAsia" w:ascii="宋体" w:hAnsi="宋体" w:cs="宋体"/>
          <w:b/>
          <w:color w:val="auto"/>
          <w:spacing w:val="6"/>
          <w:sz w:val="22"/>
          <w:szCs w:val="22"/>
          <w:highlight w:val="none"/>
          <w:u w:val="single"/>
        </w:rPr>
        <w:t>履约保证金</w:t>
      </w:r>
    </w:p>
    <w:p w14:paraId="4ACFCE34">
      <w:pPr>
        <w:spacing w:line="440" w:lineRule="exact"/>
        <w:ind w:left="580" w:hanging="580" w:hangingChars="25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6.1  </w:t>
      </w:r>
      <w:r>
        <w:rPr>
          <w:rFonts w:hint="eastAsia" w:ascii="宋体" w:hAnsi="宋体" w:cs="宋体"/>
          <w:color w:val="auto"/>
          <w:sz w:val="22"/>
          <w:szCs w:val="22"/>
          <w:highlight w:val="none"/>
        </w:rPr>
        <w:t>中标人在收到中标通知书后，签订合同后7个工作日内，中标人须向采购人提交履约保证。</w:t>
      </w:r>
    </w:p>
    <w:p w14:paraId="77576B5A">
      <w:pPr>
        <w:spacing w:line="440" w:lineRule="exact"/>
        <w:ind w:left="464" w:hanging="464" w:hanging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6.2  履约保证金用于补偿采购人因中标人不能履行其合同义务而蒙受的损失。</w:t>
      </w:r>
    </w:p>
    <w:p w14:paraId="65C9093E">
      <w:pPr>
        <w:spacing w:line="440" w:lineRule="exact"/>
        <w:ind w:left="580" w:hanging="580" w:hangingChars="25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6.3  </w:t>
      </w:r>
      <w:r>
        <w:rPr>
          <w:rFonts w:hint="eastAsia" w:ascii="宋体" w:hAnsi="宋体" w:cs="宋体"/>
          <w:color w:val="auto"/>
          <w:sz w:val="22"/>
          <w:highlight w:val="none"/>
        </w:rPr>
        <w:t>履约保证金自合同签订之日起至项目验收合格之日起有效。项目验收结束后，采购人5个工作日内将履约保证金无息退还给中标人。</w:t>
      </w:r>
    </w:p>
    <w:p w14:paraId="4A58DC76">
      <w:pPr>
        <w:spacing w:line="440" w:lineRule="exact"/>
        <w:ind w:left="442" w:hanging="442" w:hangingChars="200"/>
        <w:rPr>
          <w:rFonts w:ascii="宋体" w:hAnsi="宋体" w:cs="宋体"/>
          <w:b/>
          <w:bCs/>
          <w:color w:val="auto"/>
          <w:sz w:val="22"/>
          <w:szCs w:val="22"/>
          <w:highlight w:val="none"/>
        </w:rPr>
      </w:pPr>
      <w:r>
        <w:rPr>
          <w:rFonts w:hint="eastAsia" w:ascii="宋体" w:hAnsi="宋体" w:cs="宋体"/>
          <w:b/>
          <w:bCs/>
          <w:color w:val="auto"/>
          <w:sz w:val="22"/>
          <w:szCs w:val="22"/>
          <w:highlight w:val="none"/>
        </w:rPr>
        <w:t>7.   合同履行时更改采购数量的权利</w:t>
      </w:r>
    </w:p>
    <w:p w14:paraId="5390DC7C">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 xml:space="preserve">     合同履行中，采购人需追加与合同标的相同的货物、工程或者服务的，在不改变合同其他条款的前提下，可以与中标人协商签订补充合同，但所有补充合同的采购金额不得超过原合同采购金额的百分之十。</w:t>
      </w:r>
    </w:p>
    <w:p w14:paraId="39A48860">
      <w:pPr>
        <w:pStyle w:val="3"/>
        <w:spacing w:line="680" w:lineRule="exact"/>
        <w:jc w:val="center"/>
        <w:rPr>
          <w:rFonts w:ascii="宋体" w:hAnsi="宋体" w:eastAsia="宋体" w:cs="宋体"/>
          <w:b w:val="0"/>
          <w:color w:val="auto"/>
          <w:highlight w:val="none"/>
        </w:rPr>
      </w:pPr>
      <w:bookmarkStart w:id="42" w:name="_Toc89248785"/>
      <w:bookmarkStart w:id="43" w:name="_Toc77410345"/>
      <w:bookmarkStart w:id="44" w:name="_Toc77407760"/>
      <w:bookmarkStart w:id="45" w:name="_Toc470"/>
      <w:bookmarkStart w:id="46" w:name="_Toc230773781"/>
      <w:bookmarkStart w:id="47" w:name="_Toc208045865"/>
      <w:bookmarkStart w:id="48" w:name="_Toc185326503"/>
      <w:r>
        <w:rPr>
          <w:rFonts w:hint="eastAsia" w:ascii="宋体" w:hAnsi="宋体" w:eastAsia="宋体" w:cs="宋体"/>
          <w:color w:val="auto"/>
          <w:sz w:val="28"/>
          <w:szCs w:val="28"/>
          <w:highlight w:val="none"/>
        </w:rPr>
        <w:t>七、 可中止电子交易活动的情形</w:t>
      </w:r>
      <w:bookmarkEnd w:id="42"/>
      <w:bookmarkEnd w:id="43"/>
      <w:bookmarkEnd w:id="44"/>
      <w:bookmarkEnd w:id="45"/>
    </w:p>
    <w:p w14:paraId="71966DCC">
      <w:pPr>
        <w:tabs>
          <w:tab w:val="left" w:pos="1365"/>
        </w:tabs>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采购过程中出现以下情形，导致电子交易平台无法正常运行，或者无法保证电子交易的公平、公正和安全时，采购代理机构可中止电子交易活动：</w:t>
      </w:r>
    </w:p>
    <w:p w14:paraId="3E60487D">
      <w:pPr>
        <w:tabs>
          <w:tab w:val="left" w:pos="1365"/>
        </w:tabs>
        <w:spacing w:line="440" w:lineRule="exact"/>
        <w:ind w:left="550" w:hanging="550" w:hangingChars="250"/>
        <w:rPr>
          <w:rFonts w:ascii="宋体" w:hAnsi="宋体" w:cs="宋体"/>
          <w:color w:val="auto"/>
          <w:sz w:val="22"/>
          <w:szCs w:val="22"/>
          <w:highlight w:val="none"/>
        </w:rPr>
      </w:pPr>
      <w:r>
        <w:rPr>
          <w:rFonts w:ascii="宋体" w:hAnsi="宋体" w:cs="宋体"/>
          <w:color w:val="auto"/>
          <w:sz w:val="22"/>
          <w:szCs w:val="22"/>
          <w:highlight w:val="none"/>
        </w:rPr>
        <w:t xml:space="preserve">1.   </w:t>
      </w:r>
      <w:r>
        <w:rPr>
          <w:rFonts w:hint="eastAsia" w:ascii="宋体" w:hAnsi="宋体" w:cs="宋体"/>
          <w:color w:val="auto"/>
          <w:sz w:val="22"/>
          <w:szCs w:val="22"/>
          <w:highlight w:val="none"/>
        </w:rPr>
        <w:t>电子交易平台发生故障而无法登录访问的；</w:t>
      </w:r>
    </w:p>
    <w:p w14:paraId="6628F3F6">
      <w:pPr>
        <w:tabs>
          <w:tab w:val="left" w:pos="1365"/>
        </w:tabs>
        <w:spacing w:line="440" w:lineRule="exact"/>
        <w:ind w:left="550" w:hanging="550" w:hangingChars="250"/>
        <w:rPr>
          <w:rFonts w:ascii="宋体" w:hAnsi="宋体" w:cs="宋体"/>
          <w:color w:val="auto"/>
          <w:sz w:val="22"/>
          <w:szCs w:val="22"/>
          <w:highlight w:val="none"/>
        </w:rPr>
      </w:pPr>
      <w:r>
        <w:rPr>
          <w:rFonts w:ascii="宋体" w:hAnsi="宋体" w:cs="宋体"/>
          <w:color w:val="auto"/>
          <w:sz w:val="22"/>
          <w:szCs w:val="22"/>
          <w:highlight w:val="none"/>
        </w:rPr>
        <w:t xml:space="preserve">2.   </w:t>
      </w:r>
      <w:r>
        <w:rPr>
          <w:rFonts w:hint="eastAsia" w:ascii="宋体" w:hAnsi="宋体" w:cs="宋体"/>
          <w:color w:val="auto"/>
          <w:sz w:val="22"/>
          <w:szCs w:val="22"/>
          <w:highlight w:val="none"/>
        </w:rPr>
        <w:t>电子交易平台应用或数据库出现错误，不能进行正常操作的；</w:t>
      </w:r>
    </w:p>
    <w:p w14:paraId="7FB52188">
      <w:pPr>
        <w:tabs>
          <w:tab w:val="left" w:pos="1365"/>
        </w:tabs>
        <w:spacing w:line="440" w:lineRule="exact"/>
        <w:ind w:left="550" w:hanging="550" w:hangingChars="250"/>
        <w:rPr>
          <w:rFonts w:ascii="宋体" w:hAnsi="宋体" w:cs="宋体"/>
          <w:color w:val="auto"/>
          <w:sz w:val="22"/>
          <w:szCs w:val="22"/>
          <w:highlight w:val="none"/>
        </w:rPr>
      </w:pPr>
      <w:r>
        <w:rPr>
          <w:rFonts w:ascii="宋体" w:hAnsi="宋体" w:cs="宋体"/>
          <w:color w:val="auto"/>
          <w:sz w:val="22"/>
          <w:szCs w:val="22"/>
          <w:highlight w:val="none"/>
        </w:rPr>
        <w:t xml:space="preserve">3.   </w:t>
      </w:r>
      <w:r>
        <w:rPr>
          <w:rFonts w:hint="eastAsia" w:ascii="宋体" w:hAnsi="宋体" w:cs="宋体"/>
          <w:color w:val="auto"/>
          <w:sz w:val="22"/>
          <w:szCs w:val="22"/>
          <w:highlight w:val="none"/>
        </w:rPr>
        <w:t>电子交易平台发现严重安全漏洞，有潜在泄密危险的；</w:t>
      </w:r>
    </w:p>
    <w:p w14:paraId="51CB3AEC">
      <w:pPr>
        <w:tabs>
          <w:tab w:val="left" w:pos="1365"/>
        </w:tabs>
        <w:spacing w:line="440" w:lineRule="exact"/>
        <w:ind w:left="550" w:hanging="550" w:hangingChars="250"/>
        <w:rPr>
          <w:rFonts w:ascii="宋体" w:hAnsi="宋体" w:cs="宋体"/>
          <w:color w:val="auto"/>
          <w:sz w:val="22"/>
          <w:szCs w:val="22"/>
          <w:highlight w:val="none"/>
        </w:rPr>
      </w:pPr>
      <w:r>
        <w:rPr>
          <w:rFonts w:ascii="宋体" w:hAnsi="宋体" w:cs="宋体"/>
          <w:color w:val="auto"/>
          <w:sz w:val="22"/>
          <w:szCs w:val="22"/>
          <w:highlight w:val="none"/>
        </w:rPr>
        <w:t xml:space="preserve">4.   </w:t>
      </w:r>
      <w:r>
        <w:rPr>
          <w:rFonts w:hint="eastAsia" w:ascii="宋体" w:hAnsi="宋体" w:cs="宋体"/>
          <w:color w:val="auto"/>
          <w:sz w:val="22"/>
          <w:szCs w:val="22"/>
          <w:highlight w:val="none"/>
        </w:rPr>
        <w:t>病毒发作导致不能进行正常操作的；</w:t>
      </w:r>
    </w:p>
    <w:p w14:paraId="21090EE4">
      <w:pPr>
        <w:tabs>
          <w:tab w:val="left" w:pos="1365"/>
        </w:tabs>
        <w:spacing w:line="440" w:lineRule="exact"/>
        <w:ind w:left="550" w:hanging="550" w:hangingChars="250"/>
        <w:rPr>
          <w:rFonts w:ascii="宋体" w:hAnsi="宋体" w:cs="宋体"/>
          <w:color w:val="auto"/>
          <w:sz w:val="22"/>
          <w:szCs w:val="22"/>
          <w:highlight w:val="none"/>
        </w:rPr>
      </w:pPr>
      <w:r>
        <w:rPr>
          <w:rFonts w:ascii="宋体" w:hAnsi="宋体" w:cs="宋体"/>
          <w:color w:val="auto"/>
          <w:sz w:val="22"/>
          <w:szCs w:val="22"/>
          <w:highlight w:val="none"/>
        </w:rPr>
        <w:t xml:space="preserve">5.   </w:t>
      </w:r>
      <w:r>
        <w:rPr>
          <w:rFonts w:hint="eastAsia" w:ascii="宋体" w:hAnsi="宋体" w:cs="宋体"/>
          <w:color w:val="auto"/>
          <w:sz w:val="22"/>
          <w:szCs w:val="22"/>
          <w:highlight w:val="none"/>
        </w:rPr>
        <w:t>其他无法保证电子交易的公平、公正和安全的情况。</w:t>
      </w:r>
    </w:p>
    <w:p w14:paraId="13E5E82B">
      <w:pPr>
        <w:tabs>
          <w:tab w:val="left" w:pos="1365"/>
        </w:tabs>
        <w:spacing w:line="440" w:lineRule="exact"/>
        <w:ind w:left="420" w:leftChars="200" w:firstLine="110" w:firstLineChars="50"/>
        <w:rPr>
          <w:rFonts w:ascii="宋体" w:hAnsi="宋体" w:cs="宋体"/>
          <w:color w:val="auto"/>
          <w:sz w:val="22"/>
          <w:szCs w:val="22"/>
          <w:highlight w:val="none"/>
        </w:rPr>
      </w:pPr>
      <w:r>
        <w:rPr>
          <w:rFonts w:hint="eastAsia" w:ascii="宋体" w:hAnsi="宋体" w:cs="宋体"/>
          <w:color w:val="auto"/>
          <w:sz w:val="22"/>
          <w:szCs w:val="22"/>
          <w:highlight w:val="none"/>
        </w:rPr>
        <w:t>出现前款规定情形，不影响采购公平、公正性的，采购代理机构可以待上述情形消除后继续组织电子交易活动；影响或可能影响采购公平、公正性的，应当重新采购。</w:t>
      </w:r>
    </w:p>
    <w:p w14:paraId="54345D70">
      <w:pPr>
        <w:pStyle w:val="3"/>
        <w:numPr>
          <w:ilvl w:val="0"/>
          <w:numId w:val="1"/>
        </w:numPr>
        <w:spacing w:line="680" w:lineRule="exact"/>
        <w:jc w:val="center"/>
        <w:rPr>
          <w:rFonts w:ascii="宋体" w:hAnsi="宋体" w:eastAsia="宋体" w:cs="宋体"/>
          <w:color w:val="auto"/>
          <w:sz w:val="28"/>
          <w:szCs w:val="28"/>
          <w:highlight w:val="none"/>
        </w:rPr>
      </w:pPr>
      <w:bookmarkStart w:id="49" w:name="_Toc9368"/>
      <w:bookmarkStart w:id="50" w:name="_Toc24950"/>
      <w:r>
        <w:rPr>
          <w:rFonts w:hint="eastAsia" w:ascii="宋体" w:hAnsi="宋体" w:eastAsia="宋体" w:cs="宋体"/>
          <w:color w:val="auto"/>
          <w:sz w:val="28"/>
          <w:szCs w:val="28"/>
          <w:highlight w:val="none"/>
        </w:rPr>
        <w:t xml:space="preserve"> </w:t>
      </w:r>
      <w:bookmarkStart w:id="51" w:name="_Toc5509"/>
      <w:r>
        <w:rPr>
          <w:rFonts w:hint="eastAsia" w:ascii="宋体" w:hAnsi="宋体" w:eastAsia="宋体" w:cs="宋体"/>
          <w:color w:val="auto"/>
          <w:sz w:val="28"/>
          <w:szCs w:val="28"/>
          <w:highlight w:val="none"/>
        </w:rPr>
        <w:t>验  收</w:t>
      </w:r>
      <w:bookmarkEnd w:id="49"/>
      <w:bookmarkEnd w:id="50"/>
      <w:bookmarkEnd w:id="51"/>
    </w:p>
    <w:p w14:paraId="7CA91C42">
      <w:pPr>
        <w:tabs>
          <w:tab w:val="left" w:pos="1365"/>
        </w:tabs>
        <w:spacing w:line="440" w:lineRule="exact"/>
        <w:ind w:left="550" w:hanging="550" w:hangingChars="250"/>
        <w:rPr>
          <w:rFonts w:ascii="宋体" w:hAnsi="宋体" w:cs="宋体"/>
          <w:color w:val="auto"/>
          <w:kern w:val="2"/>
          <w:sz w:val="22"/>
          <w:szCs w:val="22"/>
          <w:highlight w:val="none"/>
        </w:rPr>
      </w:pPr>
      <w:r>
        <w:rPr>
          <w:rFonts w:hint="eastAsia" w:ascii="宋体" w:hAnsi="宋体" w:cs="宋体"/>
          <w:color w:val="auto"/>
          <w:sz w:val="22"/>
          <w:szCs w:val="22"/>
          <w:highlight w:val="none"/>
        </w:rPr>
        <w:t xml:space="preserve">1.   </w:t>
      </w:r>
      <w:r>
        <w:rPr>
          <w:rFonts w:hint="eastAsia" w:ascii="宋体" w:hAnsi="宋体" w:cs="宋体"/>
          <w:color w:val="auto"/>
          <w:kern w:val="2"/>
          <w:sz w:val="22"/>
          <w:szCs w:val="22"/>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78F6A4B">
      <w:pPr>
        <w:tabs>
          <w:tab w:val="left" w:pos="1365"/>
        </w:tabs>
        <w:spacing w:line="440" w:lineRule="exact"/>
        <w:ind w:left="550" w:hanging="550" w:hangingChars="250"/>
        <w:rPr>
          <w:rFonts w:ascii="宋体" w:hAnsi="宋体" w:cs="宋体"/>
          <w:color w:val="auto"/>
          <w:kern w:val="2"/>
          <w:sz w:val="22"/>
          <w:szCs w:val="22"/>
          <w:highlight w:val="none"/>
        </w:rPr>
      </w:pPr>
      <w:r>
        <w:rPr>
          <w:rFonts w:hint="eastAsia" w:ascii="宋体" w:hAnsi="宋体" w:cs="宋体"/>
          <w:color w:val="auto"/>
          <w:kern w:val="2"/>
          <w:sz w:val="22"/>
          <w:szCs w:val="22"/>
          <w:highlight w:val="none"/>
        </w:rPr>
        <w:t>2.   采购人可以邀请参加本项目的其他供应商或者第三方机构参与验收。参与验收的供应商或者第三方机构的意见作为验收书的参考资料一并存档。</w:t>
      </w:r>
    </w:p>
    <w:p w14:paraId="6CCD5B6F">
      <w:pPr>
        <w:tabs>
          <w:tab w:val="left" w:pos="1365"/>
        </w:tabs>
        <w:spacing w:line="440" w:lineRule="exact"/>
        <w:ind w:left="550" w:hanging="550" w:hangingChars="250"/>
        <w:rPr>
          <w:rFonts w:ascii="宋体" w:hAnsi="宋体" w:cs="宋体"/>
          <w:color w:val="auto"/>
          <w:kern w:val="2"/>
          <w:sz w:val="22"/>
          <w:szCs w:val="22"/>
          <w:highlight w:val="none"/>
        </w:rPr>
      </w:pPr>
      <w:r>
        <w:rPr>
          <w:rFonts w:hint="eastAsia" w:ascii="宋体" w:hAnsi="宋体" w:cs="宋体"/>
          <w:color w:val="auto"/>
          <w:kern w:val="2"/>
          <w:sz w:val="22"/>
          <w:szCs w:val="22"/>
          <w:highlight w:val="none"/>
        </w:rPr>
        <w:t>3.   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08583B2">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kern w:val="2"/>
          <w:sz w:val="22"/>
          <w:szCs w:val="22"/>
          <w:highlight w:val="none"/>
        </w:rPr>
        <w:t>4.   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DA3D74">
      <w:pPr>
        <w:pStyle w:val="2"/>
        <w:tabs>
          <w:tab w:val="clear" w:pos="840"/>
        </w:tabs>
        <w:adjustRightInd/>
        <w:snapToGrid/>
        <w:spacing w:before="340" w:after="330" w:line="600" w:lineRule="exact"/>
        <w:jc w:val="center"/>
        <w:rPr>
          <w:rFonts w:ascii="黑体" w:hAnsi="黑体" w:eastAsia="黑体"/>
          <w:bCs/>
          <w:color w:val="auto"/>
          <w:sz w:val="36"/>
          <w:szCs w:val="36"/>
          <w:highlight w:val="none"/>
        </w:rPr>
        <w:sectPr>
          <w:footerReference r:id="rId7" w:type="first"/>
          <w:footerReference r:id="rId6" w:type="default"/>
          <w:pgSz w:w="11906" w:h="16838"/>
          <w:pgMar w:top="1134" w:right="1134" w:bottom="1134" w:left="1134" w:header="851" w:footer="992" w:gutter="0"/>
          <w:pgNumType w:fmt="decimal" w:start="1"/>
          <w:cols w:space="720" w:num="1"/>
          <w:titlePg/>
          <w:docGrid w:linePitch="312" w:charSpace="0"/>
        </w:sectPr>
      </w:pPr>
    </w:p>
    <w:bookmarkEnd w:id="46"/>
    <w:bookmarkEnd w:id="47"/>
    <w:bookmarkEnd w:id="48"/>
    <w:p w14:paraId="60327397">
      <w:pPr>
        <w:pStyle w:val="2"/>
        <w:tabs>
          <w:tab w:val="clear" w:pos="840"/>
        </w:tabs>
        <w:adjustRightInd/>
        <w:snapToGrid/>
        <w:spacing w:before="340" w:after="330" w:line="600" w:lineRule="exact"/>
        <w:jc w:val="center"/>
        <w:rPr>
          <w:rFonts w:ascii="黑体" w:hAnsi="黑体" w:eastAsia="黑体"/>
          <w:bCs/>
          <w:color w:val="auto"/>
          <w:sz w:val="36"/>
          <w:szCs w:val="36"/>
          <w:highlight w:val="none"/>
        </w:rPr>
      </w:pPr>
      <w:bookmarkStart w:id="52" w:name="_Toc8176"/>
      <w:bookmarkStart w:id="53" w:name="_Toc8833"/>
      <w:bookmarkStart w:id="54" w:name="_Toc230773782"/>
      <w:r>
        <w:rPr>
          <w:rFonts w:hint="eastAsia" w:ascii="黑体" w:hAnsi="黑体" w:eastAsia="黑体"/>
          <w:bCs/>
          <w:color w:val="auto"/>
          <w:sz w:val="36"/>
          <w:szCs w:val="36"/>
          <w:highlight w:val="none"/>
        </w:rPr>
        <w:t>第三部分</w:t>
      </w:r>
      <w:bookmarkEnd w:id="52"/>
      <w:r>
        <w:rPr>
          <w:rFonts w:hint="eastAsia" w:ascii="黑体" w:hAnsi="黑体" w:eastAsia="黑体"/>
          <w:bCs/>
          <w:color w:val="auto"/>
          <w:sz w:val="36"/>
          <w:szCs w:val="36"/>
          <w:highlight w:val="none"/>
        </w:rPr>
        <w:t xml:space="preserve"> </w:t>
      </w:r>
      <w:r>
        <w:rPr>
          <w:rFonts w:ascii="黑体" w:hAnsi="黑体" w:eastAsia="黑体"/>
          <w:bCs/>
          <w:color w:val="auto"/>
          <w:sz w:val="36"/>
          <w:szCs w:val="36"/>
          <w:highlight w:val="none"/>
        </w:rPr>
        <w:t xml:space="preserve"> </w:t>
      </w:r>
      <w:r>
        <w:rPr>
          <w:rFonts w:hint="eastAsia" w:ascii="黑体" w:hAnsi="黑体" w:eastAsia="黑体"/>
          <w:color w:val="auto"/>
          <w:sz w:val="36"/>
          <w:szCs w:val="36"/>
          <w:highlight w:val="none"/>
        </w:rPr>
        <w:t>主要合同条款</w:t>
      </w:r>
      <w:bookmarkEnd w:id="53"/>
    </w:p>
    <w:bookmarkEnd w:id="54"/>
    <w:p w14:paraId="25A23842">
      <w:pPr>
        <w:pStyle w:val="222"/>
        <w:snapToGrid/>
        <w:spacing w:before="100" w:after="100" w:line="240" w:lineRule="auto"/>
        <w:ind w:left="0" w:leftChars="0" w:firstLine="0" w:firstLineChars="0"/>
        <w:jc w:val="center"/>
        <w:rPr>
          <w:rFonts w:ascii="黑体" w:hAnsi="宋体" w:eastAsia="黑体" w:cs="宋体"/>
          <w:color w:val="auto"/>
          <w:sz w:val="44"/>
          <w:szCs w:val="40"/>
          <w:highlight w:val="none"/>
        </w:rPr>
      </w:pPr>
      <w:bookmarkStart w:id="55" w:name="_Toc2505009"/>
      <w:bookmarkStart w:id="56" w:name="_Toc230773783"/>
    </w:p>
    <w:p w14:paraId="6AC13534">
      <w:pPr>
        <w:keepNext w:val="0"/>
        <w:keepLines w:val="0"/>
        <w:pageBreakBefore w:val="0"/>
        <w:widowControl w:val="0"/>
        <w:numPr>
          <w:ilvl w:val="0"/>
          <w:numId w:val="0"/>
        </w:numPr>
        <w:kinsoku/>
        <w:wordWrap/>
        <w:overflowPunct/>
        <w:topLinePunct w:val="0"/>
        <w:autoSpaceDE w:val="0"/>
        <w:autoSpaceDN w:val="0"/>
        <w:bidi w:val="0"/>
        <w:adjustRightInd/>
        <w:snapToGrid/>
        <w:spacing w:before="480" w:beforeAutospacing="0" w:after="480" w:afterAutospacing="0" w:line="240" w:lineRule="auto"/>
        <w:ind w:left="0" w:leftChars="0" w:right="0" w:rightChars="0" w:firstLine="0" w:firstLineChars="0"/>
        <w:jc w:val="center"/>
        <w:textAlignment w:val="auto"/>
        <w:rPr>
          <w:rFonts w:ascii="黑体" w:hAnsi="宋体" w:eastAsia="黑体" w:cs="宋体"/>
          <w:b/>
          <w:color w:val="auto"/>
          <w:sz w:val="44"/>
          <w:szCs w:val="36"/>
          <w:highlight w:val="none"/>
        </w:rPr>
      </w:pPr>
      <w:r>
        <w:rPr>
          <w:rFonts w:hint="eastAsia" w:ascii="黑体" w:hAnsi="宋体" w:eastAsia="黑体" w:cs="宋体"/>
          <w:b/>
          <w:color w:val="auto"/>
          <w:sz w:val="52"/>
          <w:szCs w:val="44"/>
          <w:highlight w:val="none"/>
        </w:rPr>
        <w:t>采购合同（</w:t>
      </w:r>
      <w:r>
        <w:rPr>
          <w:rFonts w:hint="eastAsia" w:ascii="黑体" w:eastAsia="黑体" w:cs="宋体"/>
          <w:b/>
          <w:color w:val="auto"/>
          <w:sz w:val="52"/>
          <w:szCs w:val="44"/>
          <w:highlight w:val="none"/>
          <w:lang w:val="en-US" w:eastAsia="zh-CN"/>
        </w:rPr>
        <w:t>服务</w:t>
      </w:r>
      <w:r>
        <w:rPr>
          <w:rFonts w:hint="eastAsia" w:ascii="黑体" w:hAnsi="宋体" w:eastAsia="黑体" w:cs="宋体"/>
          <w:b/>
          <w:color w:val="auto"/>
          <w:sz w:val="52"/>
          <w:szCs w:val="44"/>
          <w:highlight w:val="none"/>
        </w:rPr>
        <w:t>类）</w:t>
      </w:r>
    </w:p>
    <w:p w14:paraId="52C6EAA1">
      <w:pPr>
        <w:pStyle w:val="222"/>
        <w:snapToGrid/>
        <w:spacing w:before="100" w:after="100" w:line="240" w:lineRule="auto"/>
        <w:ind w:left="0" w:leftChars="0" w:firstLine="0" w:firstLineChars="0"/>
        <w:jc w:val="center"/>
        <w:rPr>
          <w:rFonts w:ascii="黑体" w:hAnsi="宋体" w:eastAsia="黑体" w:cs="宋体"/>
          <w:color w:val="auto"/>
          <w:sz w:val="44"/>
          <w:szCs w:val="40"/>
          <w:highlight w:val="none"/>
        </w:rPr>
      </w:pPr>
    </w:p>
    <w:p w14:paraId="2FC0BB6D">
      <w:pPr>
        <w:pStyle w:val="222"/>
        <w:snapToGrid/>
        <w:spacing w:before="100" w:after="100" w:line="240" w:lineRule="auto"/>
        <w:ind w:left="0" w:leftChars="0" w:firstLine="0" w:firstLineChars="0"/>
        <w:jc w:val="center"/>
        <w:rPr>
          <w:rFonts w:ascii="黑体" w:hAnsi="宋体" w:eastAsia="黑体" w:cs="宋体"/>
          <w:color w:val="auto"/>
          <w:sz w:val="44"/>
          <w:szCs w:val="40"/>
          <w:highlight w:val="none"/>
        </w:rPr>
      </w:pPr>
      <w:r>
        <w:rPr>
          <w:rFonts w:hint="eastAsia" w:ascii="黑体" w:hAnsi="宋体" w:eastAsia="黑体" w:cs="宋体"/>
          <w:color w:val="auto"/>
          <w:sz w:val="44"/>
          <w:szCs w:val="40"/>
          <w:highlight w:val="none"/>
        </w:rPr>
        <w:t>一、 合同书</w:t>
      </w:r>
    </w:p>
    <w:p w14:paraId="4BC7CE54">
      <w:pPr>
        <w:pStyle w:val="222"/>
        <w:snapToGrid/>
        <w:spacing w:after="0" w:line="300" w:lineRule="auto"/>
        <w:ind w:left="0" w:leftChars="0" w:firstLine="482" w:firstLineChars="0"/>
        <w:jc w:val="left"/>
        <w:rPr>
          <w:rFonts w:ascii="宋体" w:hAnsi="宋体" w:cs="宋体"/>
          <w:color w:val="auto"/>
          <w:szCs w:val="24"/>
          <w:highlight w:val="none"/>
        </w:rPr>
      </w:pPr>
    </w:p>
    <w:p w14:paraId="4C1840F7">
      <w:pPr>
        <w:pStyle w:val="222"/>
        <w:snapToGrid/>
        <w:spacing w:after="0" w:line="300" w:lineRule="auto"/>
        <w:ind w:left="0" w:leftChars="0" w:firstLine="482" w:firstLineChars="0"/>
        <w:jc w:val="left"/>
        <w:rPr>
          <w:rFonts w:ascii="宋体" w:hAnsi="宋体" w:cs="宋体"/>
          <w:color w:val="auto"/>
          <w:szCs w:val="24"/>
          <w:highlight w:val="none"/>
        </w:rPr>
      </w:pPr>
    </w:p>
    <w:p w14:paraId="69BB8B47">
      <w:pPr>
        <w:spacing w:line="300" w:lineRule="auto"/>
        <w:ind w:firstLine="1200" w:firstLineChars="500"/>
        <w:jc w:val="left"/>
        <w:rPr>
          <w:rFonts w:ascii="宋体" w:hAnsi="宋体" w:cs="宋体"/>
          <w:color w:val="auto"/>
          <w:sz w:val="24"/>
          <w:highlight w:val="none"/>
        </w:rPr>
      </w:pPr>
    </w:p>
    <w:p w14:paraId="606F4B56">
      <w:pPr>
        <w:spacing w:line="300" w:lineRule="auto"/>
        <w:ind w:firstLine="1200" w:firstLineChars="500"/>
        <w:jc w:val="left"/>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2DE8BF1E">
      <w:pPr>
        <w:pStyle w:val="223"/>
        <w:spacing w:line="300" w:lineRule="auto"/>
        <w:ind w:firstLine="1200" w:firstLineChars="500"/>
        <w:jc w:val="left"/>
        <w:rPr>
          <w:rFonts w:ascii="宋体" w:hAnsi="宋体" w:eastAsia="宋体" w:cs="宋体"/>
          <w:color w:val="auto"/>
          <w:szCs w:val="24"/>
          <w:highlight w:val="none"/>
        </w:rPr>
      </w:pPr>
    </w:p>
    <w:p w14:paraId="5B5BB9B1">
      <w:pPr>
        <w:spacing w:line="300" w:lineRule="auto"/>
        <w:ind w:firstLine="1200" w:firstLineChars="500"/>
        <w:jc w:val="left"/>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FEEF4AB">
      <w:pPr>
        <w:spacing w:line="300" w:lineRule="auto"/>
        <w:ind w:firstLine="1200" w:firstLineChars="500"/>
        <w:jc w:val="left"/>
        <w:rPr>
          <w:rFonts w:ascii="宋体" w:hAnsi="宋体" w:cs="宋体"/>
          <w:color w:val="auto"/>
          <w:sz w:val="24"/>
          <w:highlight w:val="none"/>
        </w:rPr>
      </w:pPr>
    </w:p>
    <w:p w14:paraId="5DD3E481">
      <w:pPr>
        <w:spacing w:line="300" w:lineRule="auto"/>
        <w:ind w:firstLine="1200" w:firstLineChars="500"/>
        <w:jc w:val="left"/>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6D4196B8">
      <w:pPr>
        <w:spacing w:line="300" w:lineRule="auto"/>
        <w:ind w:firstLine="1200" w:firstLineChars="500"/>
        <w:jc w:val="left"/>
        <w:rPr>
          <w:rFonts w:ascii="宋体" w:hAnsi="宋体" w:cs="宋体"/>
          <w:color w:val="auto"/>
          <w:sz w:val="24"/>
          <w:highlight w:val="none"/>
        </w:rPr>
      </w:pPr>
    </w:p>
    <w:p w14:paraId="3835FE15">
      <w:pPr>
        <w:spacing w:line="300" w:lineRule="auto"/>
        <w:ind w:firstLine="1200" w:firstLineChars="500"/>
        <w:jc w:val="left"/>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4B1D5BC2">
      <w:pPr>
        <w:spacing w:line="300" w:lineRule="auto"/>
        <w:ind w:firstLine="1200" w:firstLineChars="500"/>
        <w:jc w:val="left"/>
        <w:rPr>
          <w:rFonts w:ascii="宋体" w:hAnsi="宋体" w:cs="宋体"/>
          <w:color w:val="auto"/>
          <w:sz w:val="24"/>
          <w:highlight w:val="none"/>
        </w:rPr>
      </w:pPr>
    </w:p>
    <w:p w14:paraId="6D494070">
      <w:pPr>
        <w:spacing w:line="300" w:lineRule="auto"/>
        <w:ind w:firstLine="1200" w:firstLineChars="500"/>
        <w:jc w:val="left"/>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9F79D38">
      <w:pPr>
        <w:widowControl/>
        <w:spacing w:line="300" w:lineRule="auto"/>
        <w:ind w:firstLine="1200" w:firstLineChars="500"/>
        <w:jc w:val="left"/>
        <w:rPr>
          <w:rFonts w:ascii="宋体" w:hAnsi="宋体" w:cs="宋体"/>
          <w:color w:val="auto"/>
          <w:sz w:val="24"/>
          <w:highlight w:val="none"/>
        </w:rPr>
        <w:sectPr>
          <w:pgSz w:w="11907" w:h="16840"/>
          <w:pgMar w:top="1474" w:right="1814" w:bottom="1474" w:left="1814" w:header="851" w:footer="851" w:gutter="0"/>
          <w:pgNumType w:fmt="decimal"/>
          <w:cols w:space="720" w:num="1"/>
        </w:sectPr>
      </w:pPr>
    </w:p>
    <w:p w14:paraId="64719EE2">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采购编号：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合同编号：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14:paraId="524BD81F">
      <w:pPr>
        <w:pageBreakBefore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u w:val="single"/>
          <w:lang w:val="zh-CN"/>
        </w:rPr>
      </w:pPr>
      <w:r>
        <w:rPr>
          <w:rFonts w:hint="eastAsia" w:ascii="宋体" w:hAnsi="宋体" w:eastAsia="宋体" w:cs="宋体"/>
          <w:color w:val="auto"/>
          <w:sz w:val="22"/>
          <w:szCs w:val="22"/>
          <w:highlight w:val="none"/>
        </w:rPr>
        <w:t>甲方：</w:t>
      </w:r>
      <w:r>
        <w:rPr>
          <w:rFonts w:hint="eastAsia" w:ascii="宋体" w:hAnsi="宋体" w:eastAsia="宋体" w:cs="宋体"/>
          <w:color w:val="auto"/>
          <w:sz w:val="22"/>
          <w:szCs w:val="22"/>
          <w:highlight w:val="none"/>
          <w:u w:val="single"/>
        </w:rPr>
        <w:t>浙江安防职业技术学院</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乙方：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lang w:val="zh-CN"/>
        </w:rPr>
        <w:t xml:space="preserve">  </w:t>
      </w:r>
    </w:p>
    <w:p w14:paraId="13F1E30C">
      <w:pPr>
        <w:pageBreakBefore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550" w:firstLineChars="250"/>
        <w:jc w:val="lef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年</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月</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日</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rPr>
        <w:t xml:space="preserve">   （采购人）   </w:t>
      </w:r>
      <w:r>
        <w:rPr>
          <w:rFonts w:hint="eastAsia" w:ascii="宋体" w:hAnsi="宋体" w:eastAsia="宋体" w:cs="宋体"/>
          <w:color w:val="auto"/>
          <w:sz w:val="22"/>
          <w:szCs w:val="22"/>
          <w:highlight w:val="none"/>
        </w:rPr>
        <w:t>以</w:t>
      </w:r>
      <w:r>
        <w:rPr>
          <w:rFonts w:hint="eastAsia" w:ascii="宋体" w:hAnsi="宋体" w:eastAsia="宋体" w:cs="宋体"/>
          <w:color w:val="auto"/>
          <w:sz w:val="22"/>
          <w:szCs w:val="22"/>
          <w:highlight w:val="none"/>
          <w:u w:val="single"/>
        </w:rPr>
        <w:t xml:space="preserve">   （政府采购方式）  </w:t>
      </w:r>
      <w:r>
        <w:rPr>
          <w:rFonts w:hint="eastAsia" w:ascii="宋体" w:hAnsi="宋体" w:eastAsia="宋体" w:cs="宋体"/>
          <w:color w:val="auto"/>
          <w:sz w:val="22"/>
          <w:szCs w:val="22"/>
          <w:highlight w:val="none"/>
        </w:rPr>
        <w:t>对</w:t>
      </w:r>
      <w:r>
        <w:rPr>
          <w:rFonts w:hint="eastAsia" w:ascii="宋体" w:hAnsi="宋体" w:eastAsia="宋体" w:cs="宋体"/>
          <w:color w:val="auto"/>
          <w:sz w:val="22"/>
          <w:szCs w:val="22"/>
          <w:highlight w:val="none"/>
          <w:u w:val="single"/>
        </w:rPr>
        <w:t xml:space="preserve">  （项目名称）    </w:t>
      </w:r>
      <w:r>
        <w:rPr>
          <w:rFonts w:hint="eastAsia" w:ascii="宋体" w:hAnsi="宋体" w:eastAsia="宋体" w:cs="宋体"/>
          <w:color w:val="auto"/>
          <w:sz w:val="22"/>
          <w:szCs w:val="22"/>
          <w:highlight w:val="none"/>
        </w:rPr>
        <w:t>项目进行了采购。经</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评标委员会</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评定，</w:t>
      </w:r>
      <w:r>
        <w:rPr>
          <w:rFonts w:hint="eastAsia" w:ascii="宋体" w:hAnsi="宋体" w:eastAsia="宋体" w:cs="宋体"/>
          <w:color w:val="auto"/>
          <w:sz w:val="22"/>
          <w:szCs w:val="22"/>
          <w:highlight w:val="none"/>
          <w:u w:val="single"/>
        </w:rPr>
        <w:t xml:space="preserve">   （中标或者成交供应商名称） </w:t>
      </w:r>
      <w:r>
        <w:rPr>
          <w:rFonts w:hint="eastAsia" w:ascii="宋体" w:hAnsi="宋体" w:eastAsia="宋体" w:cs="宋体"/>
          <w:color w:val="auto"/>
          <w:sz w:val="22"/>
          <w:szCs w:val="22"/>
          <w:highlight w:val="none"/>
        </w:rPr>
        <w:t>为该项目中标或者成交供应商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按照采购文件确定的事项签订本合同。</w:t>
      </w:r>
    </w:p>
    <w:p w14:paraId="5A12DE57">
      <w:pPr>
        <w:pageBreakBefore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2"/>
          <w:szCs w:val="22"/>
          <w:highlight w:val="none"/>
          <w:u w:val="single"/>
        </w:rPr>
        <w:t xml:space="preserve">   （采购人）   </w:t>
      </w:r>
      <w:r>
        <w:rPr>
          <w:rFonts w:hint="eastAsia" w:ascii="宋体" w:hAnsi="宋体" w:eastAsia="宋体" w:cs="宋体"/>
          <w:color w:val="auto"/>
          <w:sz w:val="22"/>
          <w:szCs w:val="22"/>
          <w:highlight w:val="none"/>
          <w:lang w:val="zh-CN"/>
        </w:rPr>
        <w:t>(以下简称：甲方)和</w:t>
      </w:r>
      <w:r>
        <w:rPr>
          <w:rFonts w:hint="eastAsia" w:ascii="宋体" w:hAnsi="宋体" w:eastAsia="宋体" w:cs="宋体"/>
          <w:color w:val="auto"/>
          <w:sz w:val="22"/>
          <w:szCs w:val="22"/>
          <w:highlight w:val="none"/>
          <w:u w:val="single"/>
        </w:rPr>
        <w:t xml:space="preserve">   （中或者成交标供应商名称）   </w:t>
      </w:r>
      <w:r>
        <w:rPr>
          <w:rFonts w:hint="eastAsia" w:ascii="宋体" w:hAnsi="宋体" w:eastAsia="宋体" w:cs="宋体"/>
          <w:color w:val="auto"/>
          <w:sz w:val="22"/>
          <w:szCs w:val="22"/>
          <w:highlight w:val="none"/>
          <w:lang w:val="zh-CN"/>
        </w:rPr>
        <w:t>(以下简称：乙方)协商一致，约定以下合同</w:t>
      </w:r>
      <w:r>
        <w:rPr>
          <w:rFonts w:hint="eastAsia" w:ascii="宋体" w:hAnsi="宋体" w:eastAsia="宋体" w:cs="宋体"/>
          <w:color w:val="auto"/>
          <w:sz w:val="22"/>
          <w:szCs w:val="22"/>
          <w:highlight w:val="none"/>
        </w:rPr>
        <w:t>条款，以兹共同遵守、全面履行。</w:t>
      </w:r>
    </w:p>
    <w:p w14:paraId="61472464">
      <w:pPr>
        <w:pageBreakBefore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0" w:firstLineChars="0"/>
        <w:jc w:val="left"/>
        <w:textAlignment w:val="auto"/>
        <w:outlineLvl w:val="9"/>
        <w:rPr>
          <w:rFonts w:hint="eastAsia" w:ascii="宋体" w:hAnsi="宋体" w:eastAsia="宋体" w:cs="宋体"/>
          <w:b w:val="0"/>
          <w:color w:val="auto"/>
          <w:sz w:val="22"/>
          <w:szCs w:val="22"/>
          <w:highlight w:val="none"/>
        </w:rPr>
      </w:pPr>
      <w:bookmarkStart w:id="57" w:name="_Toc22967"/>
      <w:bookmarkStart w:id="58" w:name="_Toc15367"/>
      <w:bookmarkStart w:id="59" w:name="_Toc19273"/>
      <w:bookmarkStart w:id="60" w:name="_Toc20421"/>
      <w:bookmarkStart w:id="61" w:name="_Toc28855"/>
      <w:r>
        <w:rPr>
          <w:rFonts w:hint="eastAsia" w:ascii="宋体" w:hAnsi="宋体" w:eastAsia="宋体" w:cs="宋体"/>
          <w:b w:val="0"/>
          <w:color w:val="auto"/>
          <w:sz w:val="22"/>
          <w:szCs w:val="22"/>
          <w:highlight w:val="none"/>
        </w:rPr>
        <w:t>1.1 合同组成部分</w:t>
      </w:r>
      <w:bookmarkEnd w:id="57"/>
      <w:bookmarkEnd w:id="58"/>
      <w:bookmarkEnd w:id="59"/>
      <w:bookmarkEnd w:id="60"/>
      <w:bookmarkEnd w:id="61"/>
    </w:p>
    <w:p w14:paraId="47BEEC70">
      <w:pPr>
        <w:pageBreakBefore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3E2E73D">
      <w:pPr>
        <w:pageBreakBefore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0" w:firstLineChars="0"/>
        <w:jc w:val="left"/>
        <w:textAlignment w:val="auto"/>
        <w:outlineLvl w:val="9"/>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1.1.1 本合同及其补充合同、变更协议；</w:t>
      </w:r>
    </w:p>
    <w:p w14:paraId="322FFFA0">
      <w:pPr>
        <w:pageBreakBefore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0" w:firstLineChars="0"/>
        <w:jc w:val="left"/>
        <w:textAlignment w:val="auto"/>
        <w:outlineLvl w:val="9"/>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1.1.2 中标或者成交通知书；</w:t>
      </w:r>
    </w:p>
    <w:p w14:paraId="692A884B">
      <w:pPr>
        <w:pageBreakBefore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0" w:firstLineChars="0"/>
        <w:jc w:val="left"/>
        <w:textAlignment w:val="auto"/>
        <w:outlineLvl w:val="9"/>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1.1.3 投标或者响应文件（含澄清或者说明文件）；</w:t>
      </w:r>
    </w:p>
    <w:p w14:paraId="70D83C5C">
      <w:pPr>
        <w:pageBreakBefore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0" w:firstLineChars="0"/>
        <w:jc w:val="left"/>
        <w:textAlignment w:val="auto"/>
        <w:outlineLvl w:val="9"/>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1.1.4 采购文件（含澄清或者修改文件）；</w:t>
      </w:r>
    </w:p>
    <w:p w14:paraId="1641E222">
      <w:pPr>
        <w:pageBreakBefore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0" w:firstLineChars="0"/>
        <w:jc w:val="left"/>
        <w:textAlignment w:val="auto"/>
        <w:outlineLvl w:val="9"/>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1.1.5 其他相关采购文件。</w:t>
      </w:r>
    </w:p>
    <w:p w14:paraId="5D684ADA">
      <w:pPr>
        <w:pageBreakBefore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0" w:firstLineChars="0"/>
        <w:jc w:val="left"/>
        <w:textAlignment w:val="auto"/>
        <w:outlineLvl w:val="9"/>
        <w:rPr>
          <w:rFonts w:hint="eastAsia" w:ascii="宋体" w:hAnsi="宋体" w:eastAsia="宋体" w:cs="宋体"/>
          <w:b w:val="0"/>
          <w:bCs/>
          <w:color w:val="auto"/>
          <w:sz w:val="22"/>
          <w:szCs w:val="22"/>
          <w:highlight w:val="none"/>
          <w:lang w:val="en-US" w:eastAsia="zh-CN"/>
        </w:rPr>
      </w:pPr>
      <w:bookmarkStart w:id="62" w:name="_Toc6773"/>
      <w:bookmarkStart w:id="63" w:name="_Toc2918"/>
      <w:bookmarkStart w:id="64" w:name="_Toc6311"/>
      <w:bookmarkStart w:id="65" w:name="_Toc22185"/>
      <w:bookmarkStart w:id="66" w:name="_Toc18585"/>
      <w:r>
        <w:rPr>
          <w:rFonts w:hint="eastAsia" w:ascii="宋体" w:hAnsi="宋体" w:eastAsia="宋体" w:cs="宋体"/>
          <w:b w:val="0"/>
          <w:bCs/>
          <w:color w:val="auto"/>
          <w:sz w:val="22"/>
          <w:szCs w:val="22"/>
          <w:highlight w:val="none"/>
          <w:lang w:val="en-US" w:eastAsia="zh-CN"/>
        </w:rPr>
        <w:t>1.2合同价款</w:t>
      </w:r>
    </w:p>
    <w:p w14:paraId="165CB89D">
      <w:pPr>
        <w:pageBreakBefore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本项目采用以下第</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1.2.1</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条款规定的计价方式计价。</w:t>
      </w:r>
    </w:p>
    <w:p w14:paraId="77232E03">
      <w:pPr>
        <w:pageBreakBefore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sym w:font="Wingdings" w:char="00FE"/>
      </w: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.1</w:t>
      </w:r>
      <w:r>
        <w:rPr>
          <w:rFonts w:hint="eastAsia" w:ascii="宋体" w:hAnsi="宋体" w:eastAsia="宋体" w:cs="宋体"/>
          <w:b/>
          <w:bCs/>
          <w:color w:val="auto"/>
          <w:sz w:val="22"/>
          <w:szCs w:val="22"/>
          <w:highlight w:val="none"/>
        </w:rPr>
        <w:t>总价合同，</w:t>
      </w:r>
      <w:r>
        <w:rPr>
          <w:rFonts w:hint="eastAsia" w:ascii="宋体" w:hAnsi="宋体" w:eastAsia="宋体" w:cs="宋体"/>
          <w:color w:val="auto"/>
          <w:sz w:val="22"/>
          <w:szCs w:val="22"/>
          <w:highlight w:val="none"/>
        </w:rPr>
        <w:t>本合同总价（含税）为：￥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元（大写：</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元人民币）。</w:t>
      </w:r>
    </w:p>
    <w:p w14:paraId="2322C4CA">
      <w:pPr>
        <w:pageBreakBefore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u w:val="single"/>
        </w:rPr>
      </w:pPr>
      <w:r>
        <w:rPr>
          <w:rFonts w:hint="eastAsia" w:ascii="宋体" w:hAnsi="宋体" w:eastAsia="宋体" w:cs="宋体"/>
          <w:b/>
          <w:bCs/>
          <w:color w:val="auto"/>
          <w:sz w:val="22"/>
          <w:szCs w:val="22"/>
          <w:highlight w:val="none"/>
        </w:rPr>
        <w:t>服务内容及价格</w:t>
      </w:r>
      <w:bookmarkStart w:id="67" w:name="_Hlk143419861"/>
      <w:r>
        <w:rPr>
          <w:rFonts w:hint="eastAsia" w:ascii="宋体" w:hAnsi="宋体" w:eastAsia="宋体" w:cs="宋体"/>
          <w:color w:val="auto"/>
          <w:sz w:val="22"/>
          <w:szCs w:val="22"/>
          <w:highlight w:val="none"/>
        </w:rPr>
        <w:t xml:space="preserve">（详细清单可附后） </w:t>
      </w:r>
      <w:bookmarkEnd w:id="67"/>
      <w:r>
        <w:rPr>
          <w:rFonts w:hint="eastAsia" w:ascii="宋体" w:hAnsi="宋体" w:eastAsia="宋体" w:cs="宋体"/>
          <w:color w:val="auto"/>
          <w:sz w:val="22"/>
          <w:szCs w:val="22"/>
          <w:highlight w:val="none"/>
        </w:rPr>
        <w:t xml:space="preserve">                单位</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元</w:t>
      </w:r>
    </w:p>
    <w:tbl>
      <w:tblPr>
        <w:tblStyle w:val="39"/>
        <w:tblW w:w="8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109"/>
        <w:gridCol w:w="1688"/>
        <w:gridCol w:w="1854"/>
        <w:gridCol w:w="1970"/>
      </w:tblGrid>
      <w:tr w14:paraId="213B1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75" w:type="dxa"/>
            <w:noWrap w:val="0"/>
            <w:vAlign w:val="center"/>
          </w:tcPr>
          <w:p w14:paraId="4A48F7BF">
            <w:pPr>
              <w:keepNext w:val="0"/>
              <w:keepLines w:val="0"/>
              <w:pageBreakBefore w:val="0"/>
              <w:widowControl w:val="0"/>
              <w:numPr>
                <w:ilvl w:val="0"/>
                <w:numId w:val="0"/>
              </w:numPr>
              <w:kinsoku/>
              <w:wordWrap/>
              <w:overflowPunct/>
              <w:topLinePunct w:val="0"/>
              <w:autoSpaceDE w:val="0"/>
              <w:autoSpaceDN w:val="0"/>
              <w:bidi w:val="0"/>
              <w:adjustRightInd/>
              <w:spacing w:line="440" w:lineRule="exact"/>
              <w:ind w:leftChars="0" w:right="0" w:rightChars="0" w:firstLine="0" w:firstLineChars="0"/>
              <w:jc w:val="center"/>
              <w:textAlignment w:val="auto"/>
              <w:outlineLvl w:val="9"/>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2109" w:type="dxa"/>
            <w:noWrap w:val="0"/>
            <w:vAlign w:val="center"/>
          </w:tcPr>
          <w:p w14:paraId="3DF9139C">
            <w:pPr>
              <w:keepNext w:val="0"/>
              <w:keepLines w:val="0"/>
              <w:pageBreakBefore w:val="0"/>
              <w:widowControl w:val="0"/>
              <w:numPr>
                <w:ilvl w:val="0"/>
                <w:numId w:val="0"/>
              </w:numPr>
              <w:kinsoku/>
              <w:wordWrap/>
              <w:overflowPunct/>
              <w:topLinePunct w:val="0"/>
              <w:autoSpaceDE w:val="0"/>
              <w:autoSpaceDN w:val="0"/>
              <w:bidi w:val="0"/>
              <w:adjustRightInd/>
              <w:spacing w:line="440" w:lineRule="exact"/>
              <w:ind w:leftChars="0" w:right="0" w:rightChars="0" w:firstLine="0" w:firstLineChars="0"/>
              <w:jc w:val="center"/>
              <w:textAlignment w:val="auto"/>
              <w:outlineLvl w:val="9"/>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服务名称</w:t>
            </w:r>
          </w:p>
        </w:tc>
        <w:tc>
          <w:tcPr>
            <w:tcW w:w="1688" w:type="dxa"/>
            <w:noWrap w:val="0"/>
            <w:vAlign w:val="center"/>
          </w:tcPr>
          <w:p w14:paraId="5BF1FBD7">
            <w:pPr>
              <w:keepNext w:val="0"/>
              <w:keepLines w:val="0"/>
              <w:pageBreakBefore w:val="0"/>
              <w:widowControl w:val="0"/>
              <w:numPr>
                <w:ilvl w:val="0"/>
                <w:numId w:val="0"/>
              </w:numPr>
              <w:kinsoku/>
              <w:wordWrap/>
              <w:overflowPunct/>
              <w:topLinePunct w:val="0"/>
              <w:autoSpaceDE w:val="0"/>
              <w:autoSpaceDN w:val="0"/>
              <w:bidi w:val="0"/>
              <w:adjustRightInd/>
              <w:spacing w:line="440" w:lineRule="exact"/>
              <w:ind w:leftChars="0" w:right="0" w:rightChars="0" w:firstLine="0" w:firstLineChars="0"/>
              <w:jc w:val="center"/>
              <w:textAlignment w:val="auto"/>
              <w:outlineLvl w:val="9"/>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服务内容</w:t>
            </w:r>
          </w:p>
        </w:tc>
        <w:tc>
          <w:tcPr>
            <w:tcW w:w="1854" w:type="dxa"/>
            <w:noWrap w:val="0"/>
            <w:vAlign w:val="center"/>
          </w:tcPr>
          <w:p w14:paraId="71C07635">
            <w:pPr>
              <w:keepNext w:val="0"/>
              <w:keepLines w:val="0"/>
              <w:pageBreakBefore w:val="0"/>
              <w:widowControl w:val="0"/>
              <w:numPr>
                <w:ilvl w:val="0"/>
                <w:numId w:val="0"/>
              </w:numPr>
              <w:kinsoku/>
              <w:wordWrap/>
              <w:overflowPunct/>
              <w:topLinePunct w:val="0"/>
              <w:autoSpaceDE w:val="0"/>
              <w:autoSpaceDN w:val="0"/>
              <w:bidi w:val="0"/>
              <w:adjustRightInd/>
              <w:spacing w:line="440" w:lineRule="exact"/>
              <w:ind w:leftChars="0" w:right="0" w:rightChars="0" w:firstLine="0" w:firstLineChars="0"/>
              <w:jc w:val="center"/>
              <w:textAlignment w:val="auto"/>
              <w:outlineLvl w:val="9"/>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服务期限</w:t>
            </w:r>
          </w:p>
        </w:tc>
        <w:tc>
          <w:tcPr>
            <w:tcW w:w="1970" w:type="dxa"/>
            <w:noWrap w:val="0"/>
            <w:vAlign w:val="center"/>
          </w:tcPr>
          <w:p w14:paraId="5849571A">
            <w:pPr>
              <w:keepNext w:val="0"/>
              <w:keepLines w:val="0"/>
              <w:pageBreakBefore w:val="0"/>
              <w:widowControl w:val="0"/>
              <w:numPr>
                <w:ilvl w:val="0"/>
                <w:numId w:val="0"/>
              </w:numPr>
              <w:kinsoku/>
              <w:wordWrap/>
              <w:overflowPunct/>
              <w:topLinePunct w:val="0"/>
              <w:autoSpaceDE w:val="0"/>
              <w:autoSpaceDN w:val="0"/>
              <w:bidi w:val="0"/>
              <w:adjustRightInd/>
              <w:spacing w:line="440" w:lineRule="exact"/>
              <w:ind w:leftChars="0" w:right="0" w:rightChars="0" w:firstLine="0" w:firstLineChars="0"/>
              <w:jc w:val="center"/>
              <w:textAlignment w:val="auto"/>
              <w:outlineLvl w:val="9"/>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金额</w:t>
            </w:r>
          </w:p>
        </w:tc>
      </w:tr>
      <w:tr w14:paraId="34FA0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75" w:type="dxa"/>
            <w:noWrap w:val="0"/>
            <w:vAlign w:val="center"/>
          </w:tcPr>
          <w:p w14:paraId="4A15495C">
            <w:pPr>
              <w:keepNext w:val="0"/>
              <w:keepLines w:val="0"/>
              <w:pageBreakBefore w:val="0"/>
              <w:widowControl w:val="0"/>
              <w:numPr>
                <w:ilvl w:val="0"/>
                <w:numId w:val="0"/>
              </w:numPr>
              <w:kinsoku/>
              <w:wordWrap/>
              <w:overflowPunct/>
              <w:topLinePunct w:val="0"/>
              <w:autoSpaceDE w:val="0"/>
              <w:autoSpaceDN w:val="0"/>
              <w:bidi w:val="0"/>
              <w:adjustRightInd/>
              <w:snapToGrid w:val="0"/>
              <w:spacing w:line="440" w:lineRule="exact"/>
              <w:ind w:leftChars="0" w:right="0" w:rightChars="0" w:firstLine="0" w:firstLineChars="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2109" w:type="dxa"/>
            <w:noWrap w:val="0"/>
            <w:vAlign w:val="center"/>
          </w:tcPr>
          <w:p w14:paraId="0D48D996">
            <w:pPr>
              <w:keepNext w:val="0"/>
              <w:keepLines w:val="0"/>
              <w:pageBreakBefore w:val="0"/>
              <w:widowControl w:val="0"/>
              <w:numPr>
                <w:ilvl w:val="0"/>
                <w:numId w:val="0"/>
              </w:numPr>
              <w:kinsoku/>
              <w:wordWrap/>
              <w:overflowPunct/>
              <w:topLinePunct w:val="0"/>
              <w:autoSpaceDE w:val="0"/>
              <w:autoSpaceDN w:val="0"/>
              <w:bidi w:val="0"/>
              <w:adjustRightInd/>
              <w:spacing w:line="440" w:lineRule="exact"/>
              <w:ind w:leftChars="0" w:right="0" w:rightChars="0" w:firstLine="0" w:firstLineChars="0"/>
              <w:jc w:val="center"/>
              <w:textAlignment w:val="auto"/>
              <w:outlineLvl w:val="9"/>
              <w:rPr>
                <w:rFonts w:hint="eastAsia" w:ascii="宋体" w:hAnsi="宋体" w:eastAsia="宋体" w:cs="宋体"/>
                <w:color w:val="auto"/>
                <w:sz w:val="22"/>
                <w:szCs w:val="22"/>
                <w:highlight w:val="none"/>
              </w:rPr>
            </w:pPr>
          </w:p>
        </w:tc>
        <w:tc>
          <w:tcPr>
            <w:tcW w:w="1688" w:type="dxa"/>
            <w:noWrap w:val="0"/>
            <w:vAlign w:val="center"/>
          </w:tcPr>
          <w:p w14:paraId="456C9BEE">
            <w:pPr>
              <w:keepNext w:val="0"/>
              <w:keepLines w:val="0"/>
              <w:pageBreakBefore w:val="0"/>
              <w:widowControl w:val="0"/>
              <w:numPr>
                <w:ilvl w:val="0"/>
                <w:numId w:val="0"/>
              </w:numPr>
              <w:kinsoku/>
              <w:wordWrap/>
              <w:overflowPunct/>
              <w:topLinePunct w:val="0"/>
              <w:autoSpaceDE w:val="0"/>
              <w:autoSpaceDN w:val="0"/>
              <w:bidi w:val="0"/>
              <w:adjustRightInd/>
              <w:spacing w:line="440" w:lineRule="exact"/>
              <w:ind w:leftChars="0" w:right="0" w:rightChars="0" w:firstLine="0" w:firstLineChars="0"/>
              <w:jc w:val="center"/>
              <w:textAlignment w:val="auto"/>
              <w:outlineLvl w:val="9"/>
              <w:rPr>
                <w:rFonts w:hint="eastAsia" w:ascii="宋体" w:hAnsi="宋体" w:eastAsia="宋体" w:cs="宋体"/>
                <w:color w:val="auto"/>
                <w:sz w:val="22"/>
                <w:szCs w:val="22"/>
                <w:highlight w:val="none"/>
              </w:rPr>
            </w:pPr>
          </w:p>
        </w:tc>
        <w:tc>
          <w:tcPr>
            <w:tcW w:w="1854" w:type="dxa"/>
            <w:noWrap w:val="0"/>
            <w:vAlign w:val="center"/>
          </w:tcPr>
          <w:p w14:paraId="6F712735">
            <w:pPr>
              <w:keepNext w:val="0"/>
              <w:keepLines w:val="0"/>
              <w:pageBreakBefore w:val="0"/>
              <w:widowControl w:val="0"/>
              <w:numPr>
                <w:ilvl w:val="0"/>
                <w:numId w:val="0"/>
              </w:numPr>
              <w:kinsoku/>
              <w:wordWrap/>
              <w:overflowPunct/>
              <w:topLinePunct w:val="0"/>
              <w:autoSpaceDE w:val="0"/>
              <w:autoSpaceDN w:val="0"/>
              <w:bidi w:val="0"/>
              <w:adjustRightInd/>
              <w:spacing w:line="440" w:lineRule="exact"/>
              <w:ind w:leftChars="0" w:right="0" w:rightChars="0" w:firstLine="0" w:firstLineChars="0"/>
              <w:jc w:val="center"/>
              <w:textAlignment w:val="auto"/>
              <w:outlineLvl w:val="9"/>
              <w:rPr>
                <w:rFonts w:hint="eastAsia" w:ascii="宋体" w:hAnsi="宋体" w:eastAsia="宋体" w:cs="宋体"/>
                <w:color w:val="auto"/>
                <w:sz w:val="22"/>
                <w:szCs w:val="22"/>
                <w:highlight w:val="none"/>
              </w:rPr>
            </w:pPr>
          </w:p>
        </w:tc>
        <w:tc>
          <w:tcPr>
            <w:tcW w:w="1970" w:type="dxa"/>
            <w:noWrap w:val="0"/>
            <w:vAlign w:val="center"/>
          </w:tcPr>
          <w:p w14:paraId="13725FCF">
            <w:pPr>
              <w:keepNext w:val="0"/>
              <w:keepLines w:val="0"/>
              <w:pageBreakBefore w:val="0"/>
              <w:widowControl w:val="0"/>
              <w:numPr>
                <w:ilvl w:val="0"/>
                <w:numId w:val="0"/>
              </w:numPr>
              <w:kinsoku/>
              <w:wordWrap/>
              <w:overflowPunct/>
              <w:topLinePunct w:val="0"/>
              <w:autoSpaceDE w:val="0"/>
              <w:autoSpaceDN w:val="0"/>
              <w:bidi w:val="0"/>
              <w:adjustRightInd/>
              <w:snapToGrid w:val="0"/>
              <w:spacing w:line="440" w:lineRule="exact"/>
              <w:ind w:leftChars="0" w:right="0" w:rightChars="0" w:firstLine="0" w:firstLineChars="0"/>
              <w:jc w:val="center"/>
              <w:textAlignment w:val="auto"/>
              <w:outlineLvl w:val="9"/>
              <w:rPr>
                <w:rFonts w:hint="eastAsia" w:ascii="宋体" w:hAnsi="宋体" w:eastAsia="宋体" w:cs="宋体"/>
                <w:color w:val="auto"/>
                <w:sz w:val="22"/>
                <w:szCs w:val="22"/>
                <w:highlight w:val="none"/>
              </w:rPr>
            </w:pPr>
          </w:p>
        </w:tc>
      </w:tr>
      <w:tr w14:paraId="38195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75" w:type="dxa"/>
            <w:noWrap w:val="0"/>
            <w:vAlign w:val="center"/>
          </w:tcPr>
          <w:p w14:paraId="5EF79884">
            <w:pPr>
              <w:keepNext w:val="0"/>
              <w:keepLines w:val="0"/>
              <w:pageBreakBefore w:val="0"/>
              <w:widowControl w:val="0"/>
              <w:numPr>
                <w:ilvl w:val="0"/>
                <w:numId w:val="0"/>
              </w:numPr>
              <w:kinsoku/>
              <w:wordWrap/>
              <w:overflowPunct/>
              <w:topLinePunct w:val="0"/>
              <w:autoSpaceDE w:val="0"/>
              <w:autoSpaceDN w:val="0"/>
              <w:bidi w:val="0"/>
              <w:adjustRightInd/>
              <w:snapToGrid w:val="0"/>
              <w:spacing w:line="440" w:lineRule="exact"/>
              <w:ind w:leftChars="0" w:right="0" w:rightChars="0" w:firstLine="0" w:firstLineChars="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2109" w:type="dxa"/>
            <w:noWrap w:val="0"/>
            <w:vAlign w:val="center"/>
          </w:tcPr>
          <w:p w14:paraId="58B51571">
            <w:pPr>
              <w:keepNext w:val="0"/>
              <w:keepLines w:val="0"/>
              <w:pageBreakBefore w:val="0"/>
              <w:widowControl w:val="0"/>
              <w:numPr>
                <w:ilvl w:val="0"/>
                <w:numId w:val="0"/>
              </w:numPr>
              <w:kinsoku/>
              <w:wordWrap/>
              <w:overflowPunct/>
              <w:topLinePunct w:val="0"/>
              <w:autoSpaceDE w:val="0"/>
              <w:autoSpaceDN w:val="0"/>
              <w:bidi w:val="0"/>
              <w:adjustRightInd/>
              <w:spacing w:line="440" w:lineRule="exact"/>
              <w:ind w:leftChars="0" w:right="0" w:rightChars="0" w:firstLine="0" w:firstLineChars="0"/>
              <w:jc w:val="center"/>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w:t>
            </w:r>
          </w:p>
        </w:tc>
        <w:tc>
          <w:tcPr>
            <w:tcW w:w="1688" w:type="dxa"/>
            <w:noWrap w:val="0"/>
            <w:vAlign w:val="center"/>
          </w:tcPr>
          <w:p w14:paraId="6644D400">
            <w:pPr>
              <w:keepNext w:val="0"/>
              <w:keepLines w:val="0"/>
              <w:pageBreakBefore w:val="0"/>
              <w:widowControl w:val="0"/>
              <w:numPr>
                <w:ilvl w:val="0"/>
                <w:numId w:val="0"/>
              </w:numPr>
              <w:kinsoku/>
              <w:wordWrap/>
              <w:overflowPunct/>
              <w:topLinePunct w:val="0"/>
              <w:autoSpaceDE w:val="0"/>
              <w:autoSpaceDN w:val="0"/>
              <w:bidi w:val="0"/>
              <w:adjustRightInd/>
              <w:spacing w:line="440" w:lineRule="exact"/>
              <w:ind w:leftChars="0" w:right="0" w:rightChars="0" w:firstLine="0" w:firstLineChars="0"/>
              <w:jc w:val="center"/>
              <w:textAlignment w:val="auto"/>
              <w:outlineLvl w:val="9"/>
              <w:rPr>
                <w:rFonts w:hint="eastAsia" w:ascii="宋体" w:hAnsi="宋体" w:eastAsia="宋体" w:cs="宋体"/>
                <w:color w:val="auto"/>
                <w:sz w:val="22"/>
                <w:szCs w:val="22"/>
                <w:highlight w:val="none"/>
              </w:rPr>
            </w:pPr>
          </w:p>
        </w:tc>
        <w:tc>
          <w:tcPr>
            <w:tcW w:w="1854" w:type="dxa"/>
            <w:noWrap w:val="0"/>
            <w:vAlign w:val="center"/>
          </w:tcPr>
          <w:p w14:paraId="74613C4E">
            <w:pPr>
              <w:keepNext w:val="0"/>
              <w:keepLines w:val="0"/>
              <w:pageBreakBefore w:val="0"/>
              <w:widowControl w:val="0"/>
              <w:numPr>
                <w:ilvl w:val="0"/>
                <w:numId w:val="0"/>
              </w:numPr>
              <w:kinsoku/>
              <w:wordWrap/>
              <w:overflowPunct/>
              <w:topLinePunct w:val="0"/>
              <w:autoSpaceDE w:val="0"/>
              <w:autoSpaceDN w:val="0"/>
              <w:bidi w:val="0"/>
              <w:adjustRightInd/>
              <w:spacing w:line="440" w:lineRule="exact"/>
              <w:ind w:leftChars="0" w:right="0" w:rightChars="0" w:firstLine="0" w:firstLineChars="0"/>
              <w:jc w:val="center"/>
              <w:textAlignment w:val="auto"/>
              <w:outlineLvl w:val="9"/>
              <w:rPr>
                <w:rFonts w:hint="eastAsia" w:ascii="宋体" w:hAnsi="宋体" w:eastAsia="宋体" w:cs="宋体"/>
                <w:color w:val="auto"/>
                <w:sz w:val="22"/>
                <w:szCs w:val="22"/>
                <w:highlight w:val="none"/>
              </w:rPr>
            </w:pPr>
          </w:p>
        </w:tc>
        <w:tc>
          <w:tcPr>
            <w:tcW w:w="1970" w:type="dxa"/>
            <w:noWrap w:val="0"/>
            <w:vAlign w:val="center"/>
          </w:tcPr>
          <w:p w14:paraId="606EE136">
            <w:pPr>
              <w:keepNext w:val="0"/>
              <w:keepLines w:val="0"/>
              <w:pageBreakBefore w:val="0"/>
              <w:widowControl w:val="0"/>
              <w:numPr>
                <w:ilvl w:val="0"/>
                <w:numId w:val="0"/>
              </w:numPr>
              <w:kinsoku/>
              <w:wordWrap/>
              <w:overflowPunct/>
              <w:topLinePunct w:val="0"/>
              <w:autoSpaceDE w:val="0"/>
              <w:autoSpaceDN w:val="0"/>
              <w:bidi w:val="0"/>
              <w:adjustRightInd/>
              <w:snapToGrid w:val="0"/>
              <w:spacing w:line="440" w:lineRule="exact"/>
              <w:ind w:leftChars="0" w:right="0" w:rightChars="0" w:firstLine="0" w:firstLineChars="0"/>
              <w:jc w:val="center"/>
              <w:textAlignment w:val="auto"/>
              <w:outlineLvl w:val="9"/>
              <w:rPr>
                <w:rFonts w:hint="eastAsia" w:ascii="宋体" w:hAnsi="宋体" w:eastAsia="宋体" w:cs="宋体"/>
                <w:color w:val="auto"/>
                <w:sz w:val="22"/>
                <w:szCs w:val="22"/>
                <w:highlight w:val="none"/>
              </w:rPr>
            </w:pPr>
          </w:p>
        </w:tc>
      </w:tr>
    </w:tbl>
    <w:p w14:paraId="472241C9">
      <w:pPr>
        <w:pStyle w:val="224"/>
        <w:pageBreakBefore w:val="0"/>
        <w:numPr>
          <w:ilvl w:val="0"/>
          <w:numId w:val="0"/>
        </w:numPr>
        <w:kinsoku/>
        <w:wordWrap/>
        <w:overflowPunct/>
        <w:topLinePunct w:val="0"/>
        <w:autoSpaceDE w:val="0"/>
        <w:autoSpaceDN w:val="0"/>
        <w:bidi w:val="0"/>
        <w:adjustRightInd/>
        <w:snapToGrid/>
        <w:spacing w:before="0" w:beforeAutospacing="0" w:after="0" w:afterAutospacing="0" w:line="44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（是/否）涉及货物。若涉及货物的，则：</w:t>
      </w:r>
    </w:p>
    <w:tbl>
      <w:tblPr>
        <w:tblStyle w:val="39"/>
        <w:tblW w:w="8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345"/>
        <w:gridCol w:w="1041"/>
        <w:gridCol w:w="2215"/>
        <w:gridCol w:w="781"/>
        <w:gridCol w:w="1063"/>
        <w:gridCol w:w="1255"/>
      </w:tblGrid>
      <w:tr w14:paraId="45141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35" w:type="dxa"/>
            <w:noWrap w:val="0"/>
            <w:vAlign w:val="center"/>
          </w:tcPr>
          <w:p w14:paraId="58B33C1F">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Chars="0" w:right="0" w:rightChars="0" w:firstLine="0" w:firstLineChars="0"/>
              <w:textAlignment w:val="auto"/>
              <w:outlineLvl w:val="9"/>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1345" w:type="dxa"/>
            <w:noWrap w:val="0"/>
            <w:vAlign w:val="center"/>
          </w:tcPr>
          <w:p w14:paraId="279D3DA9">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Chars="0" w:right="0" w:rightChars="0" w:firstLine="0" w:firstLineChars="0"/>
              <w:jc w:val="center"/>
              <w:textAlignment w:val="auto"/>
              <w:outlineLvl w:val="9"/>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采购名称</w:t>
            </w:r>
          </w:p>
        </w:tc>
        <w:tc>
          <w:tcPr>
            <w:tcW w:w="1041" w:type="dxa"/>
            <w:noWrap w:val="0"/>
            <w:vAlign w:val="center"/>
          </w:tcPr>
          <w:p w14:paraId="533549E3">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Chars="0" w:right="0" w:rightChars="0" w:firstLine="0" w:firstLineChars="0"/>
              <w:jc w:val="center"/>
              <w:textAlignment w:val="auto"/>
              <w:outlineLvl w:val="9"/>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品牌</w:t>
            </w:r>
          </w:p>
        </w:tc>
        <w:tc>
          <w:tcPr>
            <w:tcW w:w="2215" w:type="dxa"/>
            <w:noWrap w:val="0"/>
            <w:vAlign w:val="center"/>
          </w:tcPr>
          <w:p w14:paraId="5696FF6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Chars="0" w:right="0" w:rightChars="0" w:firstLine="0" w:firstLineChars="0"/>
              <w:jc w:val="center"/>
              <w:textAlignment w:val="auto"/>
              <w:outlineLvl w:val="9"/>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型号规格和主要配置</w:t>
            </w:r>
          </w:p>
        </w:tc>
        <w:tc>
          <w:tcPr>
            <w:tcW w:w="781" w:type="dxa"/>
            <w:noWrap w:val="0"/>
            <w:vAlign w:val="center"/>
          </w:tcPr>
          <w:p w14:paraId="1901D3C7">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Chars="0" w:right="0" w:rightChars="0" w:firstLine="0" w:firstLineChars="0"/>
              <w:jc w:val="center"/>
              <w:textAlignment w:val="auto"/>
              <w:outlineLvl w:val="9"/>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数量</w:t>
            </w:r>
          </w:p>
        </w:tc>
        <w:tc>
          <w:tcPr>
            <w:tcW w:w="1063" w:type="dxa"/>
            <w:noWrap w:val="0"/>
            <w:vAlign w:val="center"/>
          </w:tcPr>
          <w:p w14:paraId="5346D443">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Chars="0" w:right="0" w:rightChars="0" w:firstLine="0" w:firstLineChars="0"/>
              <w:jc w:val="center"/>
              <w:textAlignment w:val="auto"/>
              <w:outlineLvl w:val="9"/>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单价</w:t>
            </w:r>
          </w:p>
        </w:tc>
        <w:tc>
          <w:tcPr>
            <w:tcW w:w="1255" w:type="dxa"/>
            <w:noWrap w:val="0"/>
            <w:vAlign w:val="center"/>
          </w:tcPr>
          <w:p w14:paraId="21CD2888">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Chars="0" w:right="0" w:rightChars="0" w:firstLine="0" w:firstLineChars="0"/>
              <w:jc w:val="center"/>
              <w:textAlignment w:val="auto"/>
              <w:outlineLvl w:val="9"/>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总价</w:t>
            </w:r>
          </w:p>
        </w:tc>
      </w:tr>
      <w:tr w14:paraId="53E9A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35" w:type="dxa"/>
            <w:noWrap w:val="0"/>
            <w:vAlign w:val="center"/>
          </w:tcPr>
          <w:p w14:paraId="037E74AF">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Chars="0" w:right="0" w:rightChars="0" w:firstLine="0" w:firstLineChars="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345" w:type="dxa"/>
            <w:noWrap w:val="0"/>
            <w:vAlign w:val="center"/>
          </w:tcPr>
          <w:p w14:paraId="22DB1CD5">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Chars="0" w:right="0" w:rightChars="0" w:firstLine="0" w:firstLineChars="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1041" w:type="dxa"/>
            <w:noWrap w:val="0"/>
            <w:vAlign w:val="center"/>
          </w:tcPr>
          <w:p w14:paraId="1FEE0D99">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Chars="0" w:right="0" w:rightChars="0" w:firstLine="0" w:firstLineChars="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2215" w:type="dxa"/>
            <w:noWrap w:val="0"/>
            <w:vAlign w:val="center"/>
          </w:tcPr>
          <w:p w14:paraId="214205D7">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Chars="0" w:right="0" w:rightChars="0" w:firstLine="0" w:firstLineChars="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781" w:type="dxa"/>
            <w:noWrap w:val="0"/>
            <w:vAlign w:val="center"/>
          </w:tcPr>
          <w:p w14:paraId="5216C59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Chars="0" w:right="0" w:rightChars="0" w:firstLine="0" w:firstLineChars="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1063" w:type="dxa"/>
            <w:noWrap w:val="0"/>
            <w:vAlign w:val="center"/>
          </w:tcPr>
          <w:p w14:paraId="2989EA57">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Chars="0" w:right="0" w:rightChars="0" w:firstLine="0" w:firstLineChars="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1255" w:type="dxa"/>
            <w:noWrap w:val="0"/>
            <w:vAlign w:val="center"/>
          </w:tcPr>
          <w:p w14:paraId="77D67AEC">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Chars="0" w:right="0" w:rightChars="0" w:firstLine="0" w:firstLineChars="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r>
      <w:tr w14:paraId="16792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35" w:type="dxa"/>
            <w:noWrap w:val="0"/>
            <w:vAlign w:val="center"/>
          </w:tcPr>
          <w:p w14:paraId="3C63A179">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Chars="0" w:right="0" w:rightChars="0" w:firstLine="0" w:firstLineChars="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345" w:type="dxa"/>
            <w:noWrap w:val="0"/>
            <w:vAlign w:val="center"/>
          </w:tcPr>
          <w:p w14:paraId="62F6A320">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Chars="0" w:right="0" w:rightChars="0" w:firstLine="0" w:firstLineChars="0"/>
              <w:jc w:val="center"/>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w:t>
            </w:r>
          </w:p>
        </w:tc>
        <w:tc>
          <w:tcPr>
            <w:tcW w:w="1041" w:type="dxa"/>
            <w:noWrap w:val="0"/>
            <w:vAlign w:val="center"/>
          </w:tcPr>
          <w:p w14:paraId="2F1C7280">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Chars="0" w:right="0" w:rightChars="0" w:firstLine="0" w:firstLineChars="0"/>
              <w:jc w:val="center"/>
              <w:textAlignment w:val="auto"/>
              <w:outlineLvl w:val="9"/>
              <w:rPr>
                <w:rFonts w:hint="eastAsia" w:ascii="宋体" w:hAnsi="宋体" w:eastAsia="宋体" w:cs="宋体"/>
                <w:color w:val="auto"/>
                <w:sz w:val="22"/>
                <w:szCs w:val="22"/>
                <w:highlight w:val="none"/>
              </w:rPr>
            </w:pPr>
          </w:p>
        </w:tc>
        <w:tc>
          <w:tcPr>
            <w:tcW w:w="2215" w:type="dxa"/>
            <w:noWrap w:val="0"/>
            <w:vAlign w:val="center"/>
          </w:tcPr>
          <w:p w14:paraId="06E7CC1B">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Chars="0" w:right="0" w:rightChars="0" w:firstLine="0" w:firstLineChars="0"/>
              <w:jc w:val="center"/>
              <w:textAlignment w:val="auto"/>
              <w:outlineLvl w:val="9"/>
              <w:rPr>
                <w:rFonts w:hint="eastAsia" w:ascii="宋体" w:hAnsi="宋体" w:eastAsia="宋体" w:cs="宋体"/>
                <w:color w:val="auto"/>
                <w:sz w:val="22"/>
                <w:szCs w:val="22"/>
                <w:highlight w:val="none"/>
              </w:rPr>
            </w:pPr>
          </w:p>
        </w:tc>
        <w:tc>
          <w:tcPr>
            <w:tcW w:w="781" w:type="dxa"/>
            <w:noWrap w:val="0"/>
            <w:vAlign w:val="center"/>
          </w:tcPr>
          <w:p w14:paraId="65E17ABC">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Chars="0" w:right="0" w:rightChars="0" w:firstLine="0" w:firstLineChars="0"/>
              <w:jc w:val="center"/>
              <w:textAlignment w:val="auto"/>
              <w:outlineLvl w:val="9"/>
              <w:rPr>
                <w:rFonts w:hint="eastAsia" w:ascii="宋体" w:hAnsi="宋体" w:eastAsia="宋体" w:cs="宋体"/>
                <w:color w:val="auto"/>
                <w:sz w:val="22"/>
                <w:szCs w:val="22"/>
                <w:highlight w:val="none"/>
              </w:rPr>
            </w:pPr>
          </w:p>
        </w:tc>
        <w:tc>
          <w:tcPr>
            <w:tcW w:w="1063" w:type="dxa"/>
            <w:noWrap w:val="0"/>
            <w:vAlign w:val="center"/>
          </w:tcPr>
          <w:p w14:paraId="656BED9F">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Chars="0" w:right="0" w:rightChars="0" w:firstLine="0" w:firstLineChars="0"/>
              <w:jc w:val="center"/>
              <w:textAlignment w:val="auto"/>
              <w:outlineLvl w:val="9"/>
              <w:rPr>
                <w:rFonts w:hint="eastAsia" w:ascii="宋体" w:hAnsi="宋体" w:eastAsia="宋体" w:cs="宋体"/>
                <w:color w:val="auto"/>
                <w:sz w:val="22"/>
                <w:szCs w:val="22"/>
                <w:highlight w:val="none"/>
              </w:rPr>
            </w:pPr>
          </w:p>
        </w:tc>
        <w:tc>
          <w:tcPr>
            <w:tcW w:w="1255" w:type="dxa"/>
            <w:noWrap w:val="0"/>
            <w:vAlign w:val="center"/>
          </w:tcPr>
          <w:p w14:paraId="0F1FE813">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Chars="0" w:right="0" w:rightChars="0" w:firstLine="0" w:firstLineChars="0"/>
              <w:jc w:val="center"/>
              <w:textAlignment w:val="auto"/>
              <w:outlineLvl w:val="9"/>
              <w:rPr>
                <w:rFonts w:hint="eastAsia" w:ascii="宋体" w:hAnsi="宋体" w:eastAsia="宋体" w:cs="宋体"/>
                <w:color w:val="auto"/>
                <w:sz w:val="22"/>
                <w:szCs w:val="22"/>
                <w:highlight w:val="none"/>
              </w:rPr>
            </w:pPr>
          </w:p>
        </w:tc>
      </w:tr>
      <w:tr w14:paraId="6ACE5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8535" w:type="dxa"/>
            <w:gridSpan w:val="7"/>
            <w:noWrap w:val="0"/>
            <w:vAlign w:val="top"/>
          </w:tcPr>
          <w:p w14:paraId="5EBFFA12">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Chars="0" w:right="0" w:rightChars="0" w:firstLine="0" w:firstLineChars="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合计</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（大写）                                     小写</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 xml:space="preserve">￥          </w:t>
            </w:r>
          </w:p>
        </w:tc>
      </w:tr>
    </w:tbl>
    <w:p w14:paraId="3A060E37">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sym w:font="Wingdings" w:char="00A8"/>
      </w:r>
      <w:r>
        <w:rPr>
          <w:rFonts w:hint="eastAsia" w:ascii="宋体" w:hAnsi="宋体" w:eastAsia="宋体" w:cs="宋体"/>
          <w:bCs/>
          <w:color w:val="auto"/>
          <w:sz w:val="22"/>
          <w:szCs w:val="22"/>
          <w:highlight w:val="none"/>
        </w:rPr>
        <w:t>1.</w:t>
      </w:r>
      <w:r>
        <w:rPr>
          <w:rFonts w:hint="eastAsia"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val="en-US" w:eastAsia="zh-CN"/>
        </w:rPr>
        <w:t>2</w:t>
      </w:r>
      <w:r>
        <w:rPr>
          <w:rFonts w:hint="eastAsia" w:ascii="宋体" w:hAnsi="宋体" w:eastAsia="宋体" w:cs="宋体"/>
          <w:b/>
          <w:bCs w:val="0"/>
          <w:color w:val="auto"/>
          <w:sz w:val="22"/>
          <w:szCs w:val="22"/>
          <w:highlight w:val="none"/>
        </w:rPr>
        <w:t>单价合同，</w:t>
      </w:r>
      <w:r>
        <w:rPr>
          <w:rFonts w:hint="eastAsia" w:ascii="宋体" w:hAnsi="宋体" w:eastAsia="宋体" w:cs="宋体"/>
          <w:color w:val="auto"/>
          <w:sz w:val="22"/>
          <w:szCs w:val="22"/>
          <w:highlight w:val="none"/>
        </w:rPr>
        <w:t>在合同履行期间内，根据实际完成的工作量</w:t>
      </w:r>
      <w:r>
        <w:rPr>
          <w:rFonts w:hint="eastAsia" w:ascii="宋体" w:hAnsi="宋体" w:eastAsia="宋体" w:cs="宋体"/>
          <w:color w:val="auto"/>
          <w:sz w:val="22"/>
          <w:szCs w:val="22"/>
          <w:highlight w:val="none"/>
          <w:lang w:val="en-US" w:eastAsia="zh-CN"/>
        </w:rPr>
        <w:t>*单价</w:t>
      </w:r>
      <w:r>
        <w:rPr>
          <w:rFonts w:hint="eastAsia" w:ascii="宋体" w:hAnsi="宋体" w:eastAsia="宋体" w:cs="宋体"/>
          <w:color w:val="auto"/>
          <w:sz w:val="22"/>
          <w:szCs w:val="22"/>
          <w:highlight w:val="none"/>
        </w:rPr>
        <w:t>据实结算，但结算总价上限不得超过预算金额</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元（大写：</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元人民币）。</w:t>
      </w:r>
    </w:p>
    <w:p w14:paraId="25305527">
      <w:pPr>
        <w:pageBreakBefore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服务内容及价格</w:t>
      </w:r>
      <w:r>
        <w:rPr>
          <w:rFonts w:hint="eastAsia" w:ascii="宋体" w:hAnsi="宋体" w:eastAsia="宋体" w:cs="宋体"/>
          <w:color w:val="auto"/>
          <w:sz w:val="22"/>
          <w:szCs w:val="22"/>
          <w:highlight w:val="none"/>
        </w:rPr>
        <w:t>（详细清单可附后）                 单位</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元</w:t>
      </w:r>
    </w:p>
    <w:tbl>
      <w:tblPr>
        <w:tblStyle w:val="39"/>
        <w:tblW w:w="9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355"/>
        <w:gridCol w:w="1234"/>
        <w:gridCol w:w="1355"/>
        <w:gridCol w:w="1156"/>
        <w:gridCol w:w="1557"/>
        <w:gridCol w:w="1607"/>
      </w:tblGrid>
      <w:tr w14:paraId="4B8B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753" w:type="dxa"/>
            <w:noWrap w:val="0"/>
            <w:vAlign w:val="center"/>
          </w:tcPr>
          <w:p w14:paraId="542656A7">
            <w:pPr>
              <w:keepNext w:val="0"/>
              <w:keepLines w:val="0"/>
              <w:pageBreakBefore w:val="0"/>
              <w:widowControl w:val="0"/>
              <w:numPr>
                <w:ilvl w:val="0"/>
                <w:numId w:val="0"/>
              </w:numPr>
              <w:kinsoku/>
              <w:wordWrap/>
              <w:overflowPunct/>
              <w:topLinePunct w:val="0"/>
              <w:autoSpaceDE w:val="0"/>
              <w:autoSpaceDN w:val="0"/>
              <w:bidi w:val="0"/>
              <w:adjustRightInd/>
              <w:spacing w:line="440" w:lineRule="exact"/>
              <w:ind w:leftChars="0" w:right="0" w:rightChars="0" w:firstLine="0" w:firstLineChars="0"/>
              <w:jc w:val="center"/>
              <w:textAlignment w:val="auto"/>
              <w:outlineLvl w:val="9"/>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1355" w:type="dxa"/>
            <w:noWrap w:val="0"/>
            <w:vAlign w:val="center"/>
          </w:tcPr>
          <w:p w14:paraId="37A8AE1D">
            <w:pPr>
              <w:keepNext w:val="0"/>
              <w:keepLines w:val="0"/>
              <w:pageBreakBefore w:val="0"/>
              <w:widowControl w:val="0"/>
              <w:numPr>
                <w:ilvl w:val="0"/>
                <w:numId w:val="0"/>
              </w:numPr>
              <w:kinsoku/>
              <w:wordWrap/>
              <w:overflowPunct/>
              <w:topLinePunct w:val="0"/>
              <w:autoSpaceDE w:val="0"/>
              <w:autoSpaceDN w:val="0"/>
              <w:bidi w:val="0"/>
              <w:adjustRightInd/>
              <w:spacing w:line="440" w:lineRule="exact"/>
              <w:ind w:leftChars="0" w:right="0" w:rightChars="0" w:firstLine="0" w:firstLineChars="0"/>
              <w:jc w:val="center"/>
              <w:textAlignment w:val="auto"/>
              <w:outlineLvl w:val="9"/>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服务名称</w:t>
            </w:r>
          </w:p>
        </w:tc>
        <w:tc>
          <w:tcPr>
            <w:tcW w:w="1234" w:type="dxa"/>
            <w:noWrap w:val="0"/>
            <w:vAlign w:val="center"/>
          </w:tcPr>
          <w:p w14:paraId="20077497">
            <w:pPr>
              <w:keepNext w:val="0"/>
              <w:keepLines w:val="0"/>
              <w:pageBreakBefore w:val="0"/>
              <w:widowControl w:val="0"/>
              <w:numPr>
                <w:ilvl w:val="0"/>
                <w:numId w:val="0"/>
              </w:numPr>
              <w:kinsoku/>
              <w:wordWrap/>
              <w:overflowPunct/>
              <w:topLinePunct w:val="0"/>
              <w:autoSpaceDE w:val="0"/>
              <w:autoSpaceDN w:val="0"/>
              <w:bidi w:val="0"/>
              <w:adjustRightInd/>
              <w:spacing w:line="440" w:lineRule="exact"/>
              <w:ind w:leftChars="0" w:right="0" w:rightChars="0" w:firstLine="0" w:firstLineChars="0"/>
              <w:jc w:val="center"/>
              <w:textAlignment w:val="auto"/>
              <w:outlineLvl w:val="9"/>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服务内容</w:t>
            </w:r>
          </w:p>
        </w:tc>
        <w:tc>
          <w:tcPr>
            <w:tcW w:w="1355" w:type="dxa"/>
            <w:noWrap w:val="0"/>
            <w:vAlign w:val="center"/>
          </w:tcPr>
          <w:p w14:paraId="5F056E3A">
            <w:pPr>
              <w:keepNext w:val="0"/>
              <w:keepLines w:val="0"/>
              <w:pageBreakBefore w:val="0"/>
              <w:widowControl w:val="0"/>
              <w:numPr>
                <w:ilvl w:val="0"/>
                <w:numId w:val="0"/>
              </w:numPr>
              <w:kinsoku/>
              <w:wordWrap/>
              <w:overflowPunct/>
              <w:topLinePunct w:val="0"/>
              <w:autoSpaceDE w:val="0"/>
              <w:autoSpaceDN w:val="0"/>
              <w:bidi w:val="0"/>
              <w:adjustRightInd/>
              <w:spacing w:line="440" w:lineRule="exact"/>
              <w:ind w:leftChars="0" w:right="0" w:rightChars="0" w:firstLine="0" w:firstLineChars="0"/>
              <w:jc w:val="center"/>
              <w:textAlignment w:val="auto"/>
              <w:outlineLvl w:val="9"/>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服务期限</w:t>
            </w:r>
          </w:p>
        </w:tc>
        <w:tc>
          <w:tcPr>
            <w:tcW w:w="1156" w:type="dxa"/>
            <w:noWrap w:val="0"/>
            <w:vAlign w:val="center"/>
          </w:tcPr>
          <w:p w14:paraId="452C73B2">
            <w:pPr>
              <w:keepNext w:val="0"/>
              <w:keepLines w:val="0"/>
              <w:pageBreakBefore w:val="0"/>
              <w:widowControl w:val="0"/>
              <w:numPr>
                <w:ilvl w:val="0"/>
                <w:numId w:val="0"/>
              </w:numPr>
              <w:kinsoku/>
              <w:wordWrap/>
              <w:overflowPunct/>
              <w:topLinePunct w:val="0"/>
              <w:autoSpaceDE w:val="0"/>
              <w:autoSpaceDN w:val="0"/>
              <w:bidi w:val="0"/>
              <w:adjustRightInd/>
              <w:spacing w:line="440" w:lineRule="exact"/>
              <w:ind w:leftChars="0" w:right="0" w:rightChars="0" w:firstLine="0" w:firstLineChars="0"/>
              <w:jc w:val="center"/>
              <w:textAlignment w:val="auto"/>
              <w:outlineLvl w:val="9"/>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数量/工作量</w:t>
            </w:r>
          </w:p>
        </w:tc>
        <w:tc>
          <w:tcPr>
            <w:tcW w:w="1557" w:type="dxa"/>
            <w:noWrap w:val="0"/>
            <w:vAlign w:val="center"/>
          </w:tcPr>
          <w:p w14:paraId="727DA579">
            <w:pPr>
              <w:keepNext w:val="0"/>
              <w:keepLines w:val="0"/>
              <w:pageBreakBefore w:val="0"/>
              <w:widowControl w:val="0"/>
              <w:numPr>
                <w:ilvl w:val="0"/>
                <w:numId w:val="0"/>
              </w:numPr>
              <w:kinsoku/>
              <w:wordWrap/>
              <w:overflowPunct/>
              <w:topLinePunct w:val="0"/>
              <w:autoSpaceDE w:val="0"/>
              <w:autoSpaceDN w:val="0"/>
              <w:bidi w:val="0"/>
              <w:adjustRightInd/>
              <w:spacing w:line="440" w:lineRule="exact"/>
              <w:ind w:leftChars="0" w:right="0" w:rightChars="0" w:firstLine="0" w:firstLineChars="0"/>
              <w:jc w:val="center"/>
              <w:textAlignment w:val="auto"/>
              <w:outlineLvl w:val="9"/>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单价</w:t>
            </w:r>
          </w:p>
        </w:tc>
        <w:tc>
          <w:tcPr>
            <w:tcW w:w="1607" w:type="dxa"/>
            <w:noWrap w:val="0"/>
            <w:vAlign w:val="center"/>
          </w:tcPr>
          <w:p w14:paraId="1DCC79F6">
            <w:pPr>
              <w:keepNext w:val="0"/>
              <w:keepLines w:val="0"/>
              <w:pageBreakBefore w:val="0"/>
              <w:widowControl w:val="0"/>
              <w:numPr>
                <w:ilvl w:val="0"/>
                <w:numId w:val="0"/>
              </w:numPr>
              <w:kinsoku/>
              <w:wordWrap/>
              <w:overflowPunct/>
              <w:topLinePunct w:val="0"/>
              <w:autoSpaceDE w:val="0"/>
              <w:autoSpaceDN w:val="0"/>
              <w:bidi w:val="0"/>
              <w:adjustRightInd/>
              <w:spacing w:line="440" w:lineRule="exact"/>
              <w:ind w:leftChars="0" w:right="0" w:rightChars="0" w:firstLine="0" w:firstLineChars="0"/>
              <w:jc w:val="center"/>
              <w:textAlignment w:val="auto"/>
              <w:outlineLvl w:val="9"/>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rPr>
              <w:t>总价</w:t>
            </w:r>
          </w:p>
        </w:tc>
      </w:tr>
      <w:tr w14:paraId="7588D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53" w:type="dxa"/>
            <w:noWrap w:val="0"/>
            <w:vAlign w:val="center"/>
          </w:tcPr>
          <w:p w14:paraId="570407A8">
            <w:pPr>
              <w:keepNext w:val="0"/>
              <w:keepLines w:val="0"/>
              <w:pageBreakBefore w:val="0"/>
              <w:widowControl w:val="0"/>
              <w:numPr>
                <w:ilvl w:val="0"/>
                <w:numId w:val="0"/>
              </w:numPr>
              <w:kinsoku/>
              <w:wordWrap/>
              <w:overflowPunct/>
              <w:topLinePunct w:val="0"/>
              <w:autoSpaceDE w:val="0"/>
              <w:autoSpaceDN w:val="0"/>
              <w:bidi w:val="0"/>
              <w:adjustRightInd/>
              <w:snapToGrid w:val="0"/>
              <w:spacing w:line="440" w:lineRule="exact"/>
              <w:ind w:leftChars="0" w:right="0" w:rightChars="0" w:firstLine="0" w:firstLineChars="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355" w:type="dxa"/>
            <w:noWrap w:val="0"/>
            <w:vAlign w:val="center"/>
          </w:tcPr>
          <w:p w14:paraId="72583942">
            <w:pPr>
              <w:keepNext w:val="0"/>
              <w:keepLines w:val="0"/>
              <w:pageBreakBefore w:val="0"/>
              <w:widowControl w:val="0"/>
              <w:numPr>
                <w:ilvl w:val="0"/>
                <w:numId w:val="0"/>
              </w:numPr>
              <w:kinsoku/>
              <w:wordWrap/>
              <w:overflowPunct/>
              <w:topLinePunct w:val="0"/>
              <w:autoSpaceDE w:val="0"/>
              <w:autoSpaceDN w:val="0"/>
              <w:bidi w:val="0"/>
              <w:adjustRightInd/>
              <w:spacing w:line="440" w:lineRule="exact"/>
              <w:ind w:leftChars="0" w:right="0" w:rightChars="0" w:firstLine="0" w:firstLineChars="0"/>
              <w:jc w:val="center"/>
              <w:textAlignment w:val="auto"/>
              <w:outlineLvl w:val="9"/>
              <w:rPr>
                <w:rFonts w:hint="eastAsia" w:ascii="宋体" w:hAnsi="宋体" w:eastAsia="宋体" w:cs="宋体"/>
                <w:color w:val="auto"/>
                <w:sz w:val="22"/>
                <w:szCs w:val="22"/>
                <w:highlight w:val="none"/>
              </w:rPr>
            </w:pPr>
          </w:p>
        </w:tc>
        <w:tc>
          <w:tcPr>
            <w:tcW w:w="1234" w:type="dxa"/>
            <w:noWrap w:val="0"/>
            <w:vAlign w:val="center"/>
          </w:tcPr>
          <w:p w14:paraId="39C53186">
            <w:pPr>
              <w:keepNext w:val="0"/>
              <w:keepLines w:val="0"/>
              <w:pageBreakBefore w:val="0"/>
              <w:widowControl w:val="0"/>
              <w:numPr>
                <w:ilvl w:val="0"/>
                <w:numId w:val="0"/>
              </w:numPr>
              <w:kinsoku/>
              <w:wordWrap/>
              <w:overflowPunct/>
              <w:topLinePunct w:val="0"/>
              <w:autoSpaceDE w:val="0"/>
              <w:autoSpaceDN w:val="0"/>
              <w:bidi w:val="0"/>
              <w:adjustRightInd/>
              <w:spacing w:line="440" w:lineRule="exact"/>
              <w:ind w:leftChars="0" w:right="0" w:rightChars="0" w:firstLine="0" w:firstLineChars="0"/>
              <w:jc w:val="center"/>
              <w:textAlignment w:val="auto"/>
              <w:outlineLvl w:val="9"/>
              <w:rPr>
                <w:rFonts w:hint="eastAsia" w:ascii="宋体" w:hAnsi="宋体" w:eastAsia="宋体" w:cs="宋体"/>
                <w:color w:val="auto"/>
                <w:sz w:val="22"/>
                <w:szCs w:val="22"/>
                <w:highlight w:val="none"/>
              </w:rPr>
            </w:pPr>
          </w:p>
        </w:tc>
        <w:tc>
          <w:tcPr>
            <w:tcW w:w="1355" w:type="dxa"/>
            <w:noWrap w:val="0"/>
            <w:vAlign w:val="center"/>
          </w:tcPr>
          <w:p w14:paraId="45CB008C">
            <w:pPr>
              <w:keepNext w:val="0"/>
              <w:keepLines w:val="0"/>
              <w:pageBreakBefore w:val="0"/>
              <w:widowControl w:val="0"/>
              <w:numPr>
                <w:ilvl w:val="0"/>
                <w:numId w:val="0"/>
              </w:numPr>
              <w:kinsoku/>
              <w:wordWrap/>
              <w:overflowPunct/>
              <w:topLinePunct w:val="0"/>
              <w:autoSpaceDE w:val="0"/>
              <w:autoSpaceDN w:val="0"/>
              <w:bidi w:val="0"/>
              <w:adjustRightInd/>
              <w:spacing w:line="440" w:lineRule="exact"/>
              <w:ind w:leftChars="0" w:right="0" w:rightChars="0" w:firstLine="0" w:firstLineChars="0"/>
              <w:jc w:val="center"/>
              <w:textAlignment w:val="auto"/>
              <w:outlineLvl w:val="9"/>
              <w:rPr>
                <w:rFonts w:hint="eastAsia" w:ascii="宋体" w:hAnsi="宋体" w:eastAsia="宋体" w:cs="宋体"/>
                <w:color w:val="auto"/>
                <w:sz w:val="22"/>
                <w:szCs w:val="22"/>
                <w:highlight w:val="none"/>
              </w:rPr>
            </w:pPr>
          </w:p>
        </w:tc>
        <w:tc>
          <w:tcPr>
            <w:tcW w:w="1156" w:type="dxa"/>
            <w:noWrap w:val="0"/>
            <w:vAlign w:val="center"/>
          </w:tcPr>
          <w:p w14:paraId="20A9DFCE">
            <w:pPr>
              <w:keepNext w:val="0"/>
              <w:keepLines w:val="0"/>
              <w:pageBreakBefore w:val="0"/>
              <w:widowControl w:val="0"/>
              <w:numPr>
                <w:ilvl w:val="0"/>
                <w:numId w:val="0"/>
              </w:numPr>
              <w:kinsoku/>
              <w:wordWrap/>
              <w:overflowPunct/>
              <w:topLinePunct w:val="0"/>
              <w:autoSpaceDE w:val="0"/>
              <w:autoSpaceDN w:val="0"/>
              <w:bidi w:val="0"/>
              <w:adjustRightInd/>
              <w:snapToGrid w:val="0"/>
              <w:spacing w:line="440" w:lineRule="exact"/>
              <w:ind w:leftChars="0" w:right="0" w:rightChars="0" w:firstLine="0" w:firstLineChars="0"/>
              <w:jc w:val="center"/>
              <w:textAlignment w:val="auto"/>
              <w:outlineLvl w:val="9"/>
              <w:rPr>
                <w:rFonts w:hint="eastAsia" w:ascii="宋体" w:hAnsi="宋体" w:eastAsia="宋体" w:cs="宋体"/>
                <w:color w:val="auto"/>
                <w:sz w:val="22"/>
                <w:szCs w:val="22"/>
                <w:highlight w:val="none"/>
              </w:rPr>
            </w:pPr>
          </w:p>
        </w:tc>
        <w:tc>
          <w:tcPr>
            <w:tcW w:w="1557" w:type="dxa"/>
            <w:noWrap w:val="0"/>
            <w:vAlign w:val="center"/>
          </w:tcPr>
          <w:p w14:paraId="21B9347E">
            <w:pPr>
              <w:keepNext w:val="0"/>
              <w:keepLines w:val="0"/>
              <w:pageBreakBefore w:val="0"/>
              <w:widowControl w:val="0"/>
              <w:numPr>
                <w:ilvl w:val="0"/>
                <w:numId w:val="0"/>
              </w:numPr>
              <w:kinsoku/>
              <w:wordWrap/>
              <w:overflowPunct/>
              <w:topLinePunct w:val="0"/>
              <w:autoSpaceDE w:val="0"/>
              <w:autoSpaceDN w:val="0"/>
              <w:bidi w:val="0"/>
              <w:adjustRightInd/>
              <w:snapToGrid w:val="0"/>
              <w:spacing w:line="440" w:lineRule="exact"/>
              <w:ind w:leftChars="0" w:right="0" w:rightChars="0" w:firstLine="0" w:firstLineChars="0"/>
              <w:jc w:val="center"/>
              <w:textAlignment w:val="auto"/>
              <w:outlineLvl w:val="9"/>
              <w:rPr>
                <w:rFonts w:hint="eastAsia" w:ascii="宋体" w:hAnsi="宋体" w:eastAsia="宋体" w:cs="宋体"/>
                <w:color w:val="auto"/>
                <w:sz w:val="22"/>
                <w:szCs w:val="22"/>
                <w:highlight w:val="none"/>
              </w:rPr>
            </w:pPr>
          </w:p>
        </w:tc>
        <w:tc>
          <w:tcPr>
            <w:tcW w:w="1607" w:type="dxa"/>
            <w:noWrap w:val="0"/>
            <w:vAlign w:val="center"/>
          </w:tcPr>
          <w:p w14:paraId="368FFC42">
            <w:pPr>
              <w:keepNext w:val="0"/>
              <w:keepLines w:val="0"/>
              <w:pageBreakBefore w:val="0"/>
              <w:widowControl w:val="0"/>
              <w:numPr>
                <w:ilvl w:val="0"/>
                <w:numId w:val="0"/>
              </w:numPr>
              <w:kinsoku/>
              <w:wordWrap/>
              <w:overflowPunct/>
              <w:topLinePunct w:val="0"/>
              <w:autoSpaceDE w:val="0"/>
              <w:autoSpaceDN w:val="0"/>
              <w:bidi w:val="0"/>
              <w:adjustRightInd/>
              <w:snapToGrid w:val="0"/>
              <w:spacing w:line="440" w:lineRule="exact"/>
              <w:ind w:leftChars="0" w:right="0" w:rightChars="0" w:firstLine="0" w:firstLineChars="0"/>
              <w:jc w:val="center"/>
              <w:textAlignment w:val="auto"/>
              <w:outlineLvl w:val="9"/>
              <w:rPr>
                <w:rFonts w:hint="eastAsia" w:ascii="宋体" w:hAnsi="宋体" w:eastAsia="宋体" w:cs="宋体"/>
                <w:color w:val="auto"/>
                <w:sz w:val="22"/>
                <w:szCs w:val="22"/>
                <w:highlight w:val="none"/>
              </w:rPr>
            </w:pPr>
          </w:p>
        </w:tc>
      </w:tr>
      <w:tr w14:paraId="5F384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53" w:type="dxa"/>
            <w:noWrap w:val="0"/>
            <w:vAlign w:val="center"/>
          </w:tcPr>
          <w:p w14:paraId="192BF475">
            <w:pPr>
              <w:keepNext w:val="0"/>
              <w:keepLines w:val="0"/>
              <w:pageBreakBefore w:val="0"/>
              <w:widowControl w:val="0"/>
              <w:numPr>
                <w:ilvl w:val="0"/>
                <w:numId w:val="0"/>
              </w:numPr>
              <w:kinsoku/>
              <w:wordWrap/>
              <w:overflowPunct/>
              <w:topLinePunct w:val="0"/>
              <w:autoSpaceDE w:val="0"/>
              <w:autoSpaceDN w:val="0"/>
              <w:bidi w:val="0"/>
              <w:adjustRightInd/>
              <w:snapToGrid w:val="0"/>
              <w:spacing w:line="440" w:lineRule="exact"/>
              <w:ind w:leftChars="0" w:right="0" w:rightChars="0" w:firstLine="0" w:firstLineChars="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355" w:type="dxa"/>
            <w:noWrap w:val="0"/>
            <w:vAlign w:val="center"/>
          </w:tcPr>
          <w:p w14:paraId="6F7DDE53">
            <w:pPr>
              <w:keepNext w:val="0"/>
              <w:keepLines w:val="0"/>
              <w:pageBreakBefore w:val="0"/>
              <w:widowControl w:val="0"/>
              <w:numPr>
                <w:ilvl w:val="0"/>
                <w:numId w:val="0"/>
              </w:numPr>
              <w:kinsoku/>
              <w:wordWrap/>
              <w:overflowPunct/>
              <w:topLinePunct w:val="0"/>
              <w:autoSpaceDE w:val="0"/>
              <w:autoSpaceDN w:val="0"/>
              <w:bidi w:val="0"/>
              <w:adjustRightInd/>
              <w:spacing w:line="440" w:lineRule="exact"/>
              <w:ind w:leftChars="0" w:right="0" w:rightChars="0" w:firstLine="0" w:firstLineChars="0"/>
              <w:jc w:val="center"/>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w:t>
            </w:r>
          </w:p>
        </w:tc>
        <w:tc>
          <w:tcPr>
            <w:tcW w:w="1234" w:type="dxa"/>
            <w:noWrap w:val="0"/>
            <w:vAlign w:val="center"/>
          </w:tcPr>
          <w:p w14:paraId="06030961">
            <w:pPr>
              <w:keepNext w:val="0"/>
              <w:keepLines w:val="0"/>
              <w:pageBreakBefore w:val="0"/>
              <w:widowControl w:val="0"/>
              <w:numPr>
                <w:ilvl w:val="0"/>
                <w:numId w:val="0"/>
              </w:numPr>
              <w:kinsoku/>
              <w:wordWrap/>
              <w:overflowPunct/>
              <w:topLinePunct w:val="0"/>
              <w:autoSpaceDE w:val="0"/>
              <w:autoSpaceDN w:val="0"/>
              <w:bidi w:val="0"/>
              <w:adjustRightInd/>
              <w:spacing w:line="440" w:lineRule="exact"/>
              <w:ind w:leftChars="0" w:right="0" w:rightChars="0" w:firstLine="0" w:firstLineChars="0"/>
              <w:jc w:val="center"/>
              <w:textAlignment w:val="auto"/>
              <w:outlineLvl w:val="9"/>
              <w:rPr>
                <w:rFonts w:hint="eastAsia" w:ascii="宋体" w:hAnsi="宋体" w:eastAsia="宋体" w:cs="宋体"/>
                <w:color w:val="auto"/>
                <w:sz w:val="22"/>
                <w:szCs w:val="22"/>
                <w:highlight w:val="none"/>
              </w:rPr>
            </w:pPr>
          </w:p>
        </w:tc>
        <w:tc>
          <w:tcPr>
            <w:tcW w:w="1355" w:type="dxa"/>
            <w:noWrap w:val="0"/>
            <w:vAlign w:val="center"/>
          </w:tcPr>
          <w:p w14:paraId="773F98A3">
            <w:pPr>
              <w:keepNext w:val="0"/>
              <w:keepLines w:val="0"/>
              <w:pageBreakBefore w:val="0"/>
              <w:widowControl w:val="0"/>
              <w:numPr>
                <w:ilvl w:val="0"/>
                <w:numId w:val="0"/>
              </w:numPr>
              <w:kinsoku/>
              <w:wordWrap/>
              <w:overflowPunct/>
              <w:topLinePunct w:val="0"/>
              <w:autoSpaceDE w:val="0"/>
              <w:autoSpaceDN w:val="0"/>
              <w:bidi w:val="0"/>
              <w:adjustRightInd/>
              <w:spacing w:line="440" w:lineRule="exact"/>
              <w:ind w:leftChars="0" w:right="0" w:rightChars="0" w:firstLine="0" w:firstLineChars="0"/>
              <w:jc w:val="center"/>
              <w:textAlignment w:val="auto"/>
              <w:outlineLvl w:val="9"/>
              <w:rPr>
                <w:rFonts w:hint="eastAsia" w:ascii="宋体" w:hAnsi="宋体" w:eastAsia="宋体" w:cs="宋体"/>
                <w:color w:val="auto"/>
                <w:sz w:val="22"/>
                <w:szCs w:val="22"/>
                <w:highlight w:val="none"/>
              </w:rPr>
            </w:pPr>
          </w:p>
        </w:tc>
        <w:tc>
          <w:tcPr>
            <w:tcW w:w="1156" w:type="dxa"/>
            <w:noWrap w:val="0"/>
            <w:vAlign w:val="center"/>
          </w:tcPr>
          <w:p w14:paraId="6774A68B">
            <w:pPr>
              <w:keepNext w:val="0"/>
              <w:keepLines w:val="0"/>
              <w:pageBreakBefore w:val="0"/>
              <w:widowControl w:val="0"/>
              <w:numPr>
                <w:ilvl w:val="0"/>
                <w:numId w:val="0"/>
              </w:numPr>
              <w:kinsoku/>
              <w:wordWrap/>
              <w:overflowPunct/>
              <w:topLinePunct w:val="0"/>
              <w:autoSpaceDE w:val="0"/>
              <w:autoSpaceDN w:val="0"/>
              <w:bidi w:val="0"/>
              <w:adjustRightInd/>
              <w:snapToGrid w:val="0"/>
              <w:spacing w:line="440" w:lineRule="exact"/>
              <w:ind w:leftChars="0" w:right="0" w:rightChars="0" w:firstLine="0" w:firstLineChars="0"/>
              <w:jc w:val="center"/>
              <w:textAlignment w:val="auto"/>
              <w:outlineLvl w:val="9"/>
              <w:rPr>
                <w:rFonts w:hint="eastAsia" w:ascii="宋体" w:hAnsi="宋体" w:eastAsia="宋体" w:cs="宋体"/>
                <w:color w:val="auto"/>
                <w:sz w:val="22"/>
                <w:szCs w:val="22"/>
                <w:highlight w:val="none"/>
              </w:rPr>
            </w:pPr>
          </w:p>
        </w:tc>
        <w:tc>
          <w:tcPr>
            <w:tcW w:w="1557" w:type="dxa"/>
            <w:noWrap w:val="0"/>
            <w:vAlign w:val="center"/>
          </w:tcPr>
          <w:p w14:paraId="168A8D79">
            <w:pPr>
              <w:keepNext w:val="0"/>
              <w:keepLines w:val="0"/>
              <w:pageBreakBefore w:val="0"/>
              <w:widowControl w:val="0"/>
              <w:numPr>
                <w:ilvl w:val="0"/>
                <w:numId w:val="0"/>
              </w:numPr>
              <w:kinsoku/>
              <w:wordWrap/>
              <w:overflowPunct/>
              <w:topLinePunct w:val="0"/>
              <w:autoSpaceDE w:val="0"/>
              <w:autoSpaceDN w:val="0"/>
              <w:bidi w:val="0"/>
              <w:adjustRightInd/>
              <w:snapToGrid w:val="0"/>
              <w:spacing w:line="440" w:lineRule="exact"/>
              <w:ind w:leftChars="0" w:right="0" w:rightChars="0" w:firstLine="0" w:firstLineChars="0"/>
              <w:jc w:val="center"/>
              <w:textAlignment w:val="auto"/>
              <w:outlineLvl w:val="9"/>
              <w:rPr>
                <w:rFonts w:hint="eastAsia" w:ascii="宋体" w:hAnsi="宋体" w:eastAsia="宋体" w:cs="宋体"/>
                <w:color w:val="auto"/>
                <w:sz w:val="22"/>
                <w:szCs w:val="22"/>
                <w:highlight w:val="none"/>
              </w:rPr>
            </w:pPr>
          </w:p>
        </w:tc>
        <w:tc>
          <w:tcPr>
            <w:tcW w:w="1607" w:type="dxa"/>
            <w:noWrap w:val="0"/>
            <w:vAlign w:val="center"/>
          </w:tcPr>
          <w:p w14:paraId="7BA511A2">
            <w:pPr>
              <w:keepNext w:val="0"/>
              <w:keepLines w:val="0"/>
              <w:pageBreakBefore w:val="0"/>
              <w:widowControl w:val="0"/>
              <w:numPr>
                <w:ilvl w:val="0"/>
                <w:numId w:val="0"/>
              </w:numPr>
              <w:kinsoku/>
              <w:wordWrap/>
              <w:overflowPunct/>
              <w:topLinePunct w:val="0"/>
              <w:autoSpaceDE w:val="0"/>
              <w:autoSpaceDN w:val="0"/>
              <w:bidi w:val="0"/>
              <w:adjustRightInd/>
              <w:snapToGrid w:val="0"/>
              <w:spacing w:line="440" w:lineRule="exact"/>
              <w:ind w:leftChars="0" w:right="0" w:rightChars="0" w:firstLine="0" w:firstLineChars="0"/>
              <w:jc w:val="center"/>
              <w:textAlignment w:val="auto"/>
              <w:outlineLvl w:val="9"/>
              <w:rPr>
                <w:rFonts w:hint="eastAsia" w:ascii="宋体" w:hAnsi="宋体" w:eastAsia="宋体" w:cs="宋体"/>
                <w:color w:val="auto"/>
                <w:sz w:val="22"/>
                <w:szCs w:val="22"/>
                <w:highlight w:val="none"/>
              </w:rPr>
            </w:pPr>
          </w:p>
        </w:tc>
      </w:tr>
    </w:tbl>
    <w:p w14:paraId="13FCDF30">
      <w:pPr>
        <w:pageBreakBefore w:val="0"/>
        <w:numPr>
          <w:ilvl w:val="0"/>
          <w:numId w:val="0"/>
        </w:numPr>
        <w:tabs>
          <w:tab w:val="left" w:pos="432"/>
        </w:tabs>
        <w:kinsoku/>
        <w:wordWrap/>
        <w:overflowPunct/>
        <w:topLinePunct w:val="0"/>
        <w:autoSpaceDE w:val="0"/>
        <w:autoSpaceDN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rPr>
        <w:sym w:font="Wingdings" w:char="00A8"/>
      </w:r>
      <w:r>
        <w:rPr>
          <w:rFonts w:hint="eastAsia" w:ascii="宋体" w:hAnsi="宋体" w:eastAsia="宋体" w:cs="宋体"/>
          <w:b w:val="0"/>
          <w:bCs w:val="0"/>
          <w:color w:val="auto"/>
          <w:sz w:val="22"/>
          <w:szCs w:val="22"/>
          <w:highlight w:val="none"/>
          <w:lang w:val="en-US"/>
        </w:rPr>
        <w:t>1.</w:t>
      </w: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val="en-US"/>
        </w:rPr>
        <w:t>.</w:t>
      </w: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val="en-US"/>
        </w:rPr>
        <w:t>其他计价方式：</w:t>
      </w:r>
      <w:r>
        <w:rPr>
          <w:rFonts w:hint="eastAsia" w:ascii="宋体" w:hAnsi="宋体" w:eastAsia="宋体" w:cs="宋体"/>
          <w:b w:val="0"/>
          <w:bCs w:val="0"/>
          <w:color w:val="auto"/>
          <w:sz w:val="22"/>
          <w:szCs w:val="22"/>
          <w:highlight w:val="none"/>
          <w:u w:val="single"/>
          <w:lang w:val="en-US"/>
        </w:rPr>
        <w:t xml:space="preserve">                   </w:t>
      </w:r>
      <w:r>
        <w:rPr>
          <w:rFonts w:hint="eastAsia" w:ascii="宋体" w:hAnsi="宋体" w:eastAsia="宋体" w:cs="宋体"/>
          <w:b w:val="0"/>
          <w:bCs w:val="0"/>
          <w:color w:val="auto"/>
          <w:sz w:val="22"/>
          <w:szCs w:val="22"/>
          <w:highlight w:val="none"/>
        </w:rPr>
        <w:t>。</w:t>
      </w:r>
    </w:p>
    <w:p w14:paraId="3C9E27E8">
      <w:pPr>
        <w:pageBreakBefore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0" w:firstLineChars="0"/>
        <w:jc w:val="left"/>
        <w:textAlignment w:val="auto"/>
        <w:outlineLvl w:val="9"/>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1.</w:t>
      </w:r>
      <w:r>
        <w:rPr>
          <w:rFonts w:hint="eastAsia" w:ascii="宋体" w:hAnsi="宋体" w:eastAsia="宋体" w:cs="宋体"/>
          <w:b w:val="0"/>
          <w:bCs/>
          <w:color w:val="auto"/>
          <w:sz w:val="22"/>
          <w:szCs w:val="22"/>
          <w:highlight w:val="none"/>
        </w:rPr>
        <w:t>3履约联系人：</w:t>
      </w:r>
    </w:p>
    <w:p w14:paraId="70DB3BA7">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甲、乙双方指定合同履行联系人。如果服务期间需更改联系人的，须及时书面通知对方，否则造成服务问题，由更改方承担责任。甲方联系人：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手机号：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；乙方联系人：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手机号：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bookmarkEnd w:id="62"/>
    <w:bookmarkEnd w:id="63"/>
    <w:bookmarkEnd w:id="64"/>
    <w:bookmarkEnd w:id="65"/>
    <w:bookmarkEnd w:id="66"/>
    <w:p w14:paraId="32878D58">
      <w:pPr>
        <w:pStyle w:val="224"/>
        <w:pageBreakBefore w:val="0"/>
        <w:numPr>
          <w:ilvl w:val="0"/>
          <w:numId w:val="0"/>
        </w:numPr>
        <w:kinsoku/>
        <w:wordWrap/>
        <w:overflowPunct/>
        <w:topLinePunct w:val="0"/>
        <w:autoSpaceDE w:val="0"/>
        <w:autoSpaceDN w:val="0"/>
        <w:bidi w:val="0"/>
        <w:adjustRightInd/>
        <w:snapToGrid/>
        <w:spacing w:before="0" w:beforeAutospacing="0" w:after="0" w:afterAutospacing="0" w:line="440" w:lineRule="exact"/>
        <w:ind w:left="0" w:leftChars="0" w:right="0" w:rightChars="0" w:firstLine="0" w:firstLineChars="0"/>
        <w:jc w:val="left"/>
        <w:textAlignment w:val="auto"/>
        <w:outlineLvl w:val="9"/>
        <w:rPr>
          <w:rFonts w:hint="eastAsia" w:ascii="宋体" w:hAnsi="宋体" w:eastAsia="宋体" w:cs="宋体"/>
          <w:b w:val="0"/>
          <w:color w:val="auto"/>
          <w:sz w:val="22"/>
          <w:szCs w:val="22"/>
          <w:highlight w:val="none"/>
        </w:rPr>
      </w:pPr>
      <w:bookmarkStart w:id="68" w:name="_Toc1814"/>
      <w:bookmarkStart w:id="69" w:name="_Toc22618"/>
      <w:bookmarkStart w:id="70" w:name="_Toc10340"/>
      <w:bookmarkStart w:id="71" w:name="_Toc11108"/>
      <w:bookmarkStart w:id="72" w:name="_Toc31421"/>
      <w:bookmarkStart w:id="73" w:name="_Toc4760"/>
      <w:bookmarkStart w:id="74" w:name="_Toc3625"/>
      <w:bookmarkStart w:id="75" w:name="_Toc8772"/>
      <w:r>
        <w:rPr>
          <w:rFonts w:hint="eastAsia" w:ascii="宋体" w:hAnsi="宋体" w:eastAsia="宋体" w:cs="宋体"/>
          <w:b w:val="0"/>
          <w:color w:val="auto"/>
          <w:sz w:val="22"/>
          <w:szCs w:val="22"/>
          <w:highlight w:val="none"/>
        </w:rPr>
        <w:t>1.4</w:t>
      </w:r>
      <w:r>
        <w:rPr>
          <w:rFonts w:hint="eastAsia" w:ascii="宋体" w:hAnsi="宋体" w:eastAsia="宋体" w:cs="宋体"/>
          <w:b w:val="0"/>
          <w:color w:val="auto"/>
          <w:sz w:val="22"/>
          <w:szCs w:val="22"/>
          <w:highlight w:val="none"/>
          <w:lang w:val="en-US" w:eastAsia="zh-CN"/>
        </w:rPr>
        <w:t xml:space="preserve"> </w:t>
      </w:r>
      <w:r>
        <w:rPr>
          <w:rFonts w:hint="eastAsia" w:ascii="宋体" w:hAnsi="宋体" w:eastAsia="宋体" w:cs="宋体"/>
          <w:b w:val="0"/>
          <w:color w:val="auto"/>
          <w:sz w:val="22"/>
          <w:szCs w:val="22"/>
          <w:highlight w:val="none"/>
        </w:rPr>
        <w:t>履约保证金</w:t>
      </w:r>
    </w:p>
    <w:p w14:paraId="5DE66C4A">
      <w:pPr>
        <w:pageBreakBefore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1.4.</w:t>
      </w:r>
      <w:r>
        <w:rPr>
          <w:rFonts w:hint="eastAsia" w:ascii="宋体" w:hAnsi="宋体" w:eastAsia="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rPr>
        <w:t>履约保证金</w:t>
      </w:r>
      <w:r>
        <w:rPr>
          <w:rFonts w:hint="eastAsia" w:ascii="宋体" w:hAnsi="宋体" w:eastAsia="宋体" w:cs="宋体"/>
          <w:color w:val="auto"/>
          <w:kern w:val="0"/>
          <w:sz w:val="22"/>
          <w:szCs w:val="22"/>
          <w:highlight w:val="none"/>
          <w:lang w:val="en-US" w:eastAsia="zh-CN"/>
        </w:rPr>
        <w:t>支付及退还</w:t>
      </w:r>
      <w:r>
        <w:rPr>
          <w:rFonts w:hint="eastAsia" w:ascii="宋体" w:hAnsi="宋体" w:eastAsia="宋体" w:cs="宋体"/>
          <w:color w:val="auto"/>
          <w:kern w:val="0"/>
          <w:sz w:val="22"/>
          <w:szCs w:val="22"/>
          <w:highlight w:val="none"/>
        </w:rPr>
        <w:t>详见</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b/>
          <w:i/>
          <w:color w:val="auto"/>
          <w:sz w:val="22"/>
          <w:szCs w:val="22"/>
          <w:highlight w:val="none"/>
          <w:u w:val="single"/>
          <w:lang w:eastAsia="zh-CN"/>
        </w:rPr>
        <w:t>详见合同专用条款</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w:t>
      </w:r>
    </w:p>
    <w:p w14:paraId="740ECE36">
      <w:pPr>
        <w:pageBreakBefore w:val="0"/>
        <w:numPr>
          <w:ilvl w:val="0"/>
          <w:numId w:val="0"/>
        </w:numPr>
        <w:tabs>
          <w:tab w:val="left" w:pos="0"/>
        </w:tabs>
        <w:kinsoku/>
        <w:wordWrap/>
        <w:overflowPunct/>
        <w:topLinePunct w:val="0"/>
        <w:autoSpaceDE w:val="0"/>
        <w:autoSpaceDN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lang w:val="en-US"/>
        </w:rPr>
      </w:pPr>
      <w:r>
        <w:rPr>
          <w:rFonts w:hint="eastAsia" w:ascii="宋体" w:hAnsi="宋体" w:eastAsia="宋体" w:cs="宋体"/>
          <w:b w:val="0"/>
          <w:bCs w:val="0"/>
          <w:color w:val="auto"/>
          <w:kern w:val="0"/>
          <w:sz w:val="22"/>
          <w:szCs w:val="22"/>
          <w:highlight w:val="none"/>
          <w:lang w:val="en-US"/>
        </w:rPr>
        <w:t>1.4.</w:t>
      </w:r>
      <w:r>
        <w:rPr>
          <w:rFonts w:hint="eastAsia" w:ascii="宋体" w:hAnsi="宋体" w:eastAsia="宋体" w:cs="宋体"/>
          <w:b w:val="0"/>
          <w:bCs w:val="0"/>
          <w:color w:val="auto"/>
          <w:kern w:val="0"/>
          <w:sz w:val="22"/>
          <w:szCs w:val="22"/>
          <w:highlight w:val="none"/>
          <w:lang w:val="en-US" w:eastAsia="zh-CN"/>
        </w:rPr>
        <w:t>2</w:t>
      </w:r>
      <w:r>
        <w:rPr>
          <w:rFonts w:hint="eastAsia" w:ascii="宋体" w:hAnsi="宋体" w:eastAsia="宋体" w:cs="宋体"/>
          <w:b w:val="0"/>
          <w:bCs w:val="0"/>
          <w:color w:val="auto"/>
          <w:kern w:val="0"/>
          <w:sz w:val="22"/>
          <w:szCs w:val="22"/>
          <w:highlight w:val="none"/>
          <w:lang w:val="en-US"/>
        </w:rPr>
        <w:t xml:space="preserve"> </w:t>
      </w:r>
      <w:r>
        <w:rPr>
          <w:rFonts w:hint="eastAsia" w:ascii="宋体" w:hAnsi="宋体" w:eastAsia="宋体" w:cs="宋体"/>
          <w:b w:val="0"/>
          <w:color w:val="auto"/>
          <w:kern w:val="0"/>
          <w:sz w:val="22"/>
          <w:szCs w:val="22"/>
          <w:highlight w:val="none"/>
          <w:lang w:val="en-US" w:eastAsia="zh-CN" w:bidi="zh-CN"/>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8AD76A6">
      <w:pPr>
        <w:pageBreakBefore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0" w:firstLineChars="0"/>
        <w:jc w:val="left"/>
        <w:textAlignment w:val="auto"/>
        <w:outlineLvl w:val="9"/>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1.5</w:t>
      </w:r>
      <w:bookmarkEnd w:id="68"/>
      <w:bookmarkEnd w:id="69"/>
      <w:bookmarkEnd w:id="70"/>
      <w:r>
        <w:rPr>
          <w:rFonts w:hint="eastAsia" w:ascii="宋体" w:hAnsi="宋体" w:eastAsia="宋体" w:cs="宋体"/>
          <w:b w:val="0"/>
          <w:color w:val="auto"/>
          <w:sz w:val="22"/>
          <w:szCs w:val="22"/>
          <w:highlight w:val="none"/>
        </w:rPr>
        <w:t>预付款</w:t>
      </w:r>
    </w:p>
    <w:p w14:paraId="1252189B">
      <w:pPr>
        <w:pageBreakBefore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预付款及支付方式</w:t>
      </w:r>
      <w:r>
        <w:rPr>
          <w:rFonts w:hint="eastAsia" w:ascii="宋体" w:hAnsi="宋体" w:eastAsia="宋体" w:cs="宋体"/>
          <w:color w:val="auto"/>
          <w:kern w:val="0"/>
          <w:sz w:val="22"/>
          <w:szCs w:val="22"/>
          <w:highlight w:val="none"/>
        </w:rPr>
        <w:t>详见</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b/>
          <w:i/>
          <w:color w:val="auto"/>
          <w:sz w:val="22"/>
          <w:szCs w:val="22"/>
          <w:highlight w:val="none"/>
          <w:u w:val="single"/>
          <w:lang w:eastAsia="zh-CN"/>
        </w:rPr>
        <w:t>合同专用条款</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w:t>
      </w:r>
    </w:p>
    <w:p w14:paraId="2BF520DA">
      <w:pPr>
        <w:pStyle w:val="224"/>
        <w:pageBreakBefore w:val="0"/>
        <w:numPr>
          <w:ilvl w:val="0"/>
          <w:numId w:val="0"/>
        </w:numPr>
        <w:kinsoku/>
        <w:wordWrap/>
        <w:overflowPunct/>
        <w:topLinePunct w:val="0"/>
        <w:autoSpaceDE w:val="0"/>
        <w:autoSpaceDN w:val="0"/>
        <w:bidi w:val="0"/>
        <w:adjustRightInd/>
        <w:snapToGrid/>
        <w:spacing w:before="0" w:beforeAutospacing="0" w:after="0" w:afterAutospacing="0" w:line="440" w:lineRule="exact"/>
        <w:ind w:left="0" w:leftChars="0" w:right="0" w:rightChars="0" w:firstLine="0" w:firstLineChars="0"/>
        <w:jc w:val="left"/>
        <w:textAlignment w:val="auto"/>
        <w:outlineLvl w:val="9"/>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1.6资金支付</w:t>
      </w:r>
    </w:p>
    <w:p w14:paraId="693FABE4">
      <w:pPr>
        <w:pageBreakBefore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资金支付的方式、时间和条件详见</w:t>
      </w:r>
      <w:r>
        <w:rPr>
          <w:rFonts w:hint="eastAsia" w:ascii="宋体" w:hAnsi="宋体" w:eastAsia="宋体" w:cs="宋体"/>
          <w:b/>
          <w:i/>
          <w:color w:val="auto"/>
          <w:sz w:val="22"/>
          <w:szCs w:val="22"/>
          <w:highlight w:val="none"/>
          <w:u w:val="single"/>
          <w:lang w:eastAsia="zh-CN"/>
        </w:rPr>
        <w:t>合同专用条款</w:t>
      </w:r>
      <w:r>
        <w:rPr>
          <w:rFonts w:hint="eastAsia" w:ascii="宋体" w:hAnsi="宋体" w:eastAsia="宋体" w:cs="宋体"/>
          <w:color w:val="auto"/>
          <w:sz w:val="22"/>
          <w:szCs w:val="22"/>
          <w:highlight w:val="none"/>
        </w:rPr>
        <w:t>。</w:t>
      </w:r>
    </w:p>
    <w:p w14:paraId="516D1C71">
      <w:pPr>
        <w:pageBreakBefore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0" w:firstLineChars="0"/>
        <w:jc w:val="left"/>
        <w:textAlignment w:val="auto"/>
        <w:outlineLvl w:val="9"/>
        <w:rPr>
          <w:rFonts w:hint="eastAsia" w:ascii="宋体" w:hAnsi="宋体" w:eastAsia="宋体" w:cs="宋体"/>
          <w:b w:val="0"/>
          <w:color w:val="auto"/>
          <w:sz w:val="22"/>
          <w:szCs w:val="22"/>
          <w:highlight w:val="none"/>
        </w:rPr>
      </w:pPr>
      <w:bookmarkStart w:id="76" w:name="_Toc2846"/>
      <w:bookmarkStart w:id="77" w:name="_Toc19304"/>
      <w:bookmarkStart w:id="78" w:name="_Toc32071"/>
      <w:r>
        <w:rPr>
          <w:rFonts w:hint="eastAsia" w:ascii="宋体" w:hAnsi="宋体" w:eastAsia="宋体" w:cs="宋体"/>
          <w:b w:val="0"/>
          <w:color w:val="auto"/>
          <w:sz w:val="22"/>
          <w:szCs w:val="22"/>
          <w:highlight w:val="none"/>
        </w:rPr>
        <w:t>1.7货物交付期限、地点和方式</w:t>
      </w:r>
      <w:bookmarkEnd w:id="76"/>
      <w:bookmarkEnd w:id="77"/>
      <w:bookmarkEnd w:id="78"/>
    </w:p>
    <w:p w14:paraId="78E9628E">
      <w:pPr>
        <w:pageBreakBefore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0" w:firstLineChars="0"/>
        <w:jc w:val="left"/>
        <w:textAlignment w:val="auto"/>
        <w:outlineLvl w:val="9"/>
        <w:rPr>
          <w:rFonts w:hint="eastAsia" w:ascii="宋体" w:hAnsi="宋体" w:eastAsia="宋体" w:cs="宋体"/>
          <w:b w:val="0"/>
          <w:color w:val="auto"/>
          <w:sz w:val="22"/>
          <w:szCs w:val="22"/>
          <w:highlight w:val="none"/>
          <w:u w:val="single"/>
        </w:rPr>
      </w:pPr>
      <w:r>
        <w:rPr>
          <w:rFonts w:hint="eastAsia" w:ascii="宋体" w:hAnsi="宋体" w:eastAsia="宋体" w:cs="宋体"/>
          <w:b w:val="0"/>
          <w:color w:val="auto"/>
          <w:sz w:val="22"/>
          <w:szCs w:val="22"/>
          <w:highlight w:val="none"/>
        </w:rPr>
        <w:t>1.7.1 交付</w:t>
      </w:r>
      <w:r>
        <w:rPr>
          <w:rFonts w:hint="eastAsia" w:ascii="宋体" w:hAnsi="宋体" w:eastAsia="宋体" w:cs="宋体"/>
          <w:b w:val="0"/>
          <w:color w:val="auto"/>
          <w:sz w:val="22"/>
          <w:szCs w:val="22"/>
          <w:highlight w:val="none"/>
          <w:lang w:val="en-US" w:eastAsia="zh-CN"/>
        </w:rPr>
        <w:t>时间</w:t>
      </w:r>
      <w:r>
        <w:rPr>
          <w:rFonts w:hint="eastAsia" w:ascii="宋体" w:hAnsi="宋体" w:eastAsia="宋体" w:cs="宋体"/>
          <w:b w:val="0"/>
          <w:color w:val="auto"/>
          <w:sz w:val="22"/>
          <w:szCs w:val="22"/>
          <w:highlight w:val="none"/>
        </w:rPr>
        <w:t>：</w:t>
      </w:r>
      <w:r>
        <w:rPr>
          <w:rFonts w:hint="eastAsia" w:ascii="宋体" w:hAnsi="宋体" w:eastAsia="宋体" w:cs="宋体"/>
          <w:color w:val="auto"/>
          <w:kern w:val="0"/>
          <w:sz w:val="22"/>
          <w:szCs w:val="22"/>
          <w:highlight w:val="none"/>
          <w:lang w:eastAsia="zh-CN"/>
        </w:rPr>
        <w:t>详见</w:t>
      </w:r>
      <w:r>
        <w:rPr>
          <w:rFonts w:hint="eastAsia" w:ascii="宋体" w:hAnsi="宋体" w:eastAsia="宋体" w:cs="宋体"/>
          <w:b w:val="0"/>
          <w:i/>
          <w:color w:val="auto"/>
          <w:sz w:val="22"/>
          <w:szCs w:val="22"/>
          <w:highlight w:val="none"/>
          <w:u w:val="single"/>
          <w:lang w:eastAsia="zh-CN"/>
        </w:rPr>
        <w:t>合同专用条款</w:t>
      </w:r>
      <w:r>
        <w:rPr>
          <w:rFonts w:hint="eastAsia" w:ascii="宋体" w:hAnsi="宋体" w:eastAsia="宋体" w:cs="宋体"/>
          <w:b w:val="0"/>
          <w:color w:val="auto"/>
          <w:sz w:val="22"/>
          <w:szCs w:val="22"/>
          <w:highlight w:val="none"/>
        </w:rPr>
        <w:t>；</w:t>
      </w:r>
    </w:p>
    <w:p w14:paraId="12A38229">
      <w:pPr>
        <w:pageBreakBefore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0" w:firstLineChars="0"/>
        <w:jc w:val="left"/>
        <w:textAlignment w:val="auto"/>
        <w:outlineLvl w:val="9"/>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1.7.2 交付地点：</w:t>
      </w:r>
      <w:r>
        <w:rPr>
          <w:rFonts w:hint="eastAsia" w:ascii="宋体" w:hAnsi="宋体" w:eastAsia="宋体" w:cs="宋体"/>
          <w:color w:val="auto"/>
          <w:kern w:val="0"/>
          <w:sz w:val="22"/>
          <w:szCs w:val="22"/>
          <w:highlight w:val="none"/>
          <w:lang w:eastAsia="zh-CN"/>
        </w:rPr>
        <w:t>详见</w:t>
      </w:r>
      <w:r>
        <w:rPr>
          <w:rFonts w:hint="eastAsia" w:ascii="宋体" w:hAnsi="宋体" w:eastAsia="宋体" w:cs="宋体"/>
          <w:b w:val="0"/>
          <w:i/>
          <w:color w:val="auto"/>
          <w:sz w:val="22"/>
          <w:szCs w:val="22"/>
          <w:highlight w:val="none"/>
          <w:u w:val="single"/>
          <w:lang w:eastAsia="zh-CN"/>
        </w:rPr>
        <w:t>合同专用条款</w:t>
      </w:r>
      <w:r>
        <w:rPr>
          <w:rFonts w:hint="eastAsia" w:ascii="宋体" w:hAnsi="宋体" w:eastAsia="宋体" w:cs="宋体"/>
          <w:b w:val="0"/>
          <w:color w:val="auto"/>
          <w:sz w:val="22"/>
          <w:szCs w:val="22"/>
          <w:highlight w:val="none"/>
        </w:rPr>
        <w:t>；</w:t>
      </w:r>
    </w:p>
    <w:p w14:paraId="7595CEE1">
      <w:pPr>
        <w:pageBreakBefore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0" w:firstLineChars="0"/>
        <w:jc w:val="left"/>
        <w:textAlignment w:val="auto"/>
        <w:outlineLvl w:val="9"/>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1.7.3 交付方式：</w:t>
      </w:r>
      <w:r>
        <w:rPr>
          <w:rFonts w:hint="eastAsia" w:ascii="宋体" w:hAnsi="宋体" w:eastAsia="宋体" w:cs="宋体"/>
          <w:color w:val="auto"/>
          <w:kern w:val="0"/>
          <w:sz w:val="22"/>
          <w:szCs w:val="22"/>
          <w:highlight w:val="none"/>
          <w:lang w:eastAsia="zh-CN"/>
        </w:rPr>
        <w:t>详见</w:t>
      </w:r>
      <w:r>
        <w:rPr>
          <w:rFonts w:hint="eastAsia" w:ascii="宋体" w:hAnsi="宋体" w:eastAsia="宋体" w:cs="宋体"/>
          <w:b w:val="0"/>
          <w:i/>
          <w:color w:val="auto"/>
          <w:sz w:val="22"/>
          <w:szCs w:val="22"/>
          <w:highlight w:val="none"/>
          <w:u w:val="single"/>
          <w:lang w:eastAsia="zh-CN"/>
        </w:rPr>
        <w:t>合同专用条款</w:t>
      </w:r>
      <w:r>
        <w:rPr>
          <w:rFonts w:hint="eastAsia" w:ascii="宋体" w:hAnsi="宋体" w:eastAsia="宋体" w:cs="宋体"/>
          <w:b w:val="0"/>
          <w:color w:val="auto"/>
          <w:sz w:val="22"/>
          <w:szCs w:val="22"/>
          <w:highlight w:val="none"/>
        </w:rPr>
        <w:t>。</w:t>
      </w:r>
    </w:p>
    <w:bookmarkEnd w:id="71"/>
    <w:bookmarkEnd w:id="72"/>
    <w:bookmarkEnd w:id="73"/>
    <w:bookmarkEnd w:id="74"/>
    <w:bookmarkEnd w:id="75"/>
    <w:p w14:paraId="387080DE">
      <w:pPr>
        <w:pageBreakBefore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0" w:firstLineChars="0"/>
        <w:jc w:val="left"/>
        <w:textAlignment w:val="auto"/>
        <w:outlineLvl w:val="9"/>
        <w:rPr>
          <w:rFonts w:hint="eastAsia" w:ascii="宋体" w:hAnsi="宋体" w:eastAsia="宋体" w:cs="宋体"/>
          <w:b w:val="0"/>
          <w:color w:val="auto"/>
          <w:sz w:val="22"/>
          <w:szCs w:val="22"/>
          <w:highlight w:val="none"/>
          <w:u w:val="single"/>
        </w:rPr>
      </w:pPr>
      <w:bookmarkStart w:id="79" w:name="_Toc3079"/>
      <w:bookmarkStart w:id="80" w:name="_Toc24662"/>
      <w:bookmarkStart w:id="81" w:name="_Toc2375"/>
      <w:bookmarkStart w:id="82" w:name="_Toc5698"/>
      <w:bookmarkStart w:id="83" w:name="_Toc8586"/>
      <w:r>
        <w:rPr>
          <w:rFonts w:hint="eastAsia" w:ascii="宋体" w:hAnsi="宋体" w:eastAsia="宋体" w:cs="宋体"/>
          <w:b w:val="0"/>
          <w:color w:val="auto"/>
          <w:sz w:val="22"/>
          <w:szCs w:val="22"/>
          <w:highlight w:val="none"/>
        </w:rPr>
        <w:t>1.8违约责任</w:t>
      </w:r>
      <w:bookmarkEnd w:id="79"/>
      <w:bookmarkEnd w:id="80"/>
      <w:bookmarkEnd w:id="81"/>
      <w:bookmarkEnd w:id="82"/>
      <w:bookmarkEnd w:id="83"/>
    </w:p>
    <w:p w14:paraId="1D4BF930">
      <w:pPr>
        <w:pageBreakBefore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2"/>
          <w:szCs w:val="22"/>
          <w:highlight w:val="none"/>
          <w:u w:val="none"/>
        </w:rPr>
        <w:t xml:space="preserve">0.05 </w:t>
      </w:r>
      <w:r>
        <w:rPr>
          <w:rFonts w:hint="eastAsia" w:ascii="宋体" w:hAnsi="宋体" w:eastAsia="宋体" w:cs="宋体"/>
          <w:color w:val="auto"/>
          <w:sz w:val="22"/>
          <w:szCs w:val="22"/>
          <w:highlight w:val="none"/>
        </w:rPr>
        <w:t>%计算，最高限额为本合同总价的</w:t>
      </w:r>
      <w:r>
        <w:rPr>
          <w:rFonts w:hint="eastAsia" w:ascii="宋体" w:hAnsi="宋体" w:eastAsia="宋体" w:cs="宋体"/>
          <w:color w:val="auto"/>
          <w:sz w:val="22"/>
          <w:szCs w:val="22"/>
          <w:highlight w:val="none"/>
          <w:u w:val="none"/>
        </w:rPr>
        <w:t>20</w:t>
      </w:r>
      <w:r>
        <w:rPr>
          <w:rFonts w:hint="eastAsia" w:ascii="宋体" w:hAnsi="宋体" w:eastAsia="宋体" w:cs="宋体"/>
          <w:color w:val="auto"/>
          <w:sz w:val="22"/>
          <w:szCs w:val="22"/>
          <w:highlight w:val="none"/>
        </w:rPr>
        <w:t>%；迟延履行的违约金计算数额达到前述最高限额之日起，甲方有权在要求乙方支付违约金的同时，书面通知乙方解除本合同；</w:t>
      </w:r>
    </w:p>
    <w:p w14:paraId="1F6804A9">
      <w:pPr>
        <w:pageBreakBefore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b w:val="0"/>
          <w:bCs w:val="0"/>
          <w:color w:val="auto"/>
          <w:sz w:val="22"/>
          <w:szCs w:val="22"/>
          <w:highlight w:val="none"/>
          <w:lang w:val="en-US"/>
        </w:rPr>
      </w:pPr>
      <w:r>
        <w:rPr>
          <w:rFonts w:hint="eastAsia" w:ascii="宋体" w:hAnsi="宋体" w:eastAsia="宋体" w:cs="宋体"/>
          <w:b w:val="0"/>
          <w:bCs w:val="0"/>
          <w:color w:val="auto"/>
          <w:sz w:val="22"/>
          <w:szCs w:val="22"/>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2"/>
          <w:szCs w:val="22"/>
          <w:highlight w:val="none"/>
          <w:u w:val="none"/>
          <w:lang w:val="en-US"/>
        </w:rPr>
        <w:t>0.05</w:t>
      </w:r>
      <w:r>
        <w:rPr>
          <w:rFonts w:hint="eastAsia" w:ascii="宋体" w:hAnsi="宋体" w:eastAsia="宋体" w:cs="宋体"/>
          <w:b w:val="0"/>
          <w:bCs w:val="0"/>
          <w:color w:val="auto"/>
          <w:sz w:val="22"/>
          <w:szCs w:val="22"/>
          <w:highlight w:val="none"/>
          <w:lang w:val="en-US"/>
        </w:rPr>
        <w:t>%计算，最高限额为本合同总价的</w:t>
      </w:r>
      <w:r>
        <w:rPr>
          <w:rFonts w:hint="eastAsia" w:ascii="宋体" w:hAnsi="宋体" w:eastAsia="宋体" w:cs="宋体"/>
          <w:b w:val="0"/>
          <w:bCs w:val="0"/>
          <w:color w:val="auto"/>
          <w:sz w:val="22"/>
          <w:szCs w:val="22"/>
          <w:highlight w:val="none"/>
          <w:u w:val="none"/>
          <w:lang w:val="en-US"/>
        </w:rPr>
        <w:t>20</w:t>
      </w:r>
      <w:r>
        <w:rPr>
          <w:rFonts w:hint="eastAsia" w:ascii="宋体" w:hAnsi="宋体" w:eastAsia="宋体" w:cs="宋体"/>
          <w:b w:val="0"/>
          <w:bCs w:val="0"/>
          <w:color w:val="auto"/>
          <w:sz w:val="22"/>
          <w:szCs w:val="22"/>
          <w:highlight w:val="none"/>
          <w:lang w:val="en-US"/>
        </w:rPr>
        <w:t>%；迟延交付货物的违约金计算数额达到前述最高限额之日起，甲方有权在要求乙方支付违约金的同时，书面通知乙方解除本合同；</w:t>
      </w:r>
    </w:p>
    <w:p w14:paraId="0F083F61">
      <w:pPr>
        <w:pageBreakBefore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2"/>
          <w:szCs w:val="22"/>
          <w:highlight w:val="none"/>
          <w:u w:val="single"/>
        </w:rPr>
        <w:t>0.05</w:t>
      </w:r>
      <w:r>
        <w:rPr>
          <w:rFonts w:hint="eastAsia" w:ascii="宋体" w:hAnsi="宋体" w:eastAsia="宋体" w:cs="宋体"/>
          <w:color w:val="auto"/>
          <w:sz w:val="22"/>
          <w:szCs w:val="22"/>
          <w:highlight w:val="none"/>
        </w:rPr>
        <w:t>%计算，最高限额为本合同总价的</w:t>
      </w:r>
      <w:r>
        <w:rPr>
          <w:rFonts w:hint="eastAsia" w:ascii="宋体" w:hAnsi="宋体" w:eastAsia="宋体" w:cs="宋体"/>
          <w:color w:val="auto"/>
          <w:sz w:val="22"/>
          <w:szCs w:val="22"/>
          <w:highlight w:val="none"/>
          <w:u w:val="none"/>
        </w:rPr>
        <w:t>20%</w:t>
      </w:r>
      <w:r>
        <w:rPr>
          <w:rFonts w:hint="eastAsia" w:ascii="宋体" w:hAnsi="宋体" w:eastAsia="宋体" w:cs="宋体"/>
          <w:color w:val="auto"/>
          <w:sz w:val="22"/>
          <w:szCs w:val="22"/>
          <w:highlight w:val="none"/>
        </w:rPr>
        <w:t>；迟延付款的违约金计算数额达到前述最高限额之日起，乙方有权在要求甲方支付违约金的同时，书面通知甲方解除本合同；</w:t>
      </w:r>
    </w:p>
    <w:p w14:paraId="6FA268F1">
      <w:pPr>
        <w:pageBreakBefore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rPr>
      </w:pPr>
      <w:bookmarkStart w:id="84" w:name="_Toc9497"/>
      <w:bookmarkStart w:id="85" w:name="_Toc18683"/>
      <w:bookmarkStart w:id="86" w:name="_Toc30329"/>
      <w:bookmarkStart w:id="87" w:name="_Toc32454"/>
      <w:bookmarkStart w:id="88" w:name="_Toc26807"/>
      <w:r>
        <w:rPr>
          <w:rFonts w:hint="eastAsia" w:ascii="宋体" w:hAnsi="宋体" w:eastAsia="宋体" w:cs="宋体"/>
          <w:color w:val="auto"/>
          <w:sz w:val="22"/>
          <w:szCs w:val="22"/>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6896779">
      <w:pPr>
        <w:pageBreakBefore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0426FEF">
      <w:pPr>
        <w:pageBreakBefore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61A4E32E">
      <w:pPr>
        <w:pageBreakBefore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1.8.7违约责任</w:t>
      </w:r>
      <w:r>
        <w:rPr>
          <w:rFonts w:hint="eastAsia" w:ascii="宋体" w:hAnsi="宋体" w:eastAsia="宋体" w:cs="宋体"/>
          <w:b/>
          <w:i/>
          <w:color w:val="auto"/>
          <w:sz w:val="22"/>
          <w:szCs w:val="22"/>
          <w:highlight w:val="none"/>
          <w:u w:val="single"/>
          <w:lang w:eastAsia="zh-CN"/>
        </w:rPr>
        <w:t>合同专用条款</w:t>
      </w:r>
      <w:r>
        <w:rPr>
          <w:rFonts w:hint="eastAsia" w:ascii="宋体" w:hAnsi="宋体" w:eastAsia="宋体" w:cs="宋体"/>
          <w:color w:val="auto"/>
          <w:sz w:val="22"/>
          <w:szCs w:val="22"/>
          <w:highlight w:val="none"/>
        </w:rPr>
        <w:t>另有约定的，从其约定。</w:t>
      </w:r>
    </w:p>
    <w:bookmarkEnd w:id="84"/>
    <w:bookmarkEnd w:id="85"/>
    <w:bookmarkEnd w:id="86"/>
    <w:bookmarkEnd w:id="87"/>
    <w:bookmarkEnd w:id="88"/>
    <w:p w14:paraId="28ACC2F9">
      <w:pPr>
        <w:pageBreakBefore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0" w:firstLineChars="0"/>
        <w:jc w:val="left"/>
        <w:textAlignment w:val="auto"/>
        <w:outlineLvl w:val="9"/>
        <w:rPr>
          <w:rFonts w:hint="eastAsia" w:ascii="宋体" w:hAnsi="宋体" w:eastAsia="宋体" w:cs="宋体"/>
          <w:b w:val="0"/>
          <w:color w:val="auto"/>
          <w:sz w:val="22"/>
          <w:szCs w:val="22"/>
          <w:highlight w:val="none"/>
        </w:rPr>
      </w:pPr>
      <w:bookmarkStart w:id="89" w:name="_Toc16021"/>
      <w:bookmarkStart w:id="90" w:name="_Toc28375"/>
      <w:bookmarkStart w:id="91" w:name="_Toc15583"/>
      <w:r>
        <w:rPr>
          <w:rFonts w:hint="eastAsia" w:ascii="宋体" w:hAnsi="宋体" w:eastAsia="宋体" w:cs="宋体"/>
          <w:b w:val="0"/>
          <w:color w:val="auto"/>
          <w:sz w:val="22"/>
          <w:szCs w:val="22"/>
          <w:highlight w:val="none"/>
        </w:rPr>
        <w:t>1.9合同争议的解决</w:t>
      </w:r>
      <w:bookmarkEnd w:id="89"/>
      <w:bookmarkEnd w:id="90"/>
      <w:bookmarkEnd w:id="91"/>
    </w:p>
    <w:p w14:paraId="1BADFD94">
      <w:pPr>
        <w:pageBreakBefore w:val="0"/>
        <w:numPr>
          <w:ilvl w:val="0"/>
          <w:numId w:val="0"/>
        </w:numPr>
        <w:kinsoku/>
        <w:wordWrap/>
        <w:overflowPunct/>
        <w:topLinePunct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本合同履行过程中发生的任何争议，双方当事人均可通过和解或者调解解决；不愿和解、调解或者和解、调解不成的，</w:t>
      </w:r>
      <w:r>
        <w:rPr>
          <w:rFonts w:hint="eastAsia" w:ascii="宋体" w:hAnsi="宋体" w:eastAsia="宋体" w:cs="宋体"/>
          <w:color w:val="auto"/>
          <w:sz w:val="22"/>
          <w:szCs w:val="22"/>
          <w:highlight w:val="none"/>
          <w:lang w:val="en-US" w:eastAsia="zh-CN"/>
        </w:rPr>
        <w:t>按</w:t>
      </w:r>
      <w:r>
        <w:rPr>
          <w:rFonts w:hint="eastAsia" w:ascii="宋体" w:hAnsi="宋体" w:eastAsia="宋体" w:cs="宋体"/>
          <w:color w:val="auto"/>
          <w:sz w:val="22"/>
          <w:szCs w:val="22"/>
          <w:highlight w:val="none"/>
          <w:u w:val="single"/>
          <w:lang w:val="en-US" w:eastAsia="zh-CN"/>
        </w:rPr>
        <w:t xml:space="preserve"> B </w:t>
      </w:r>
      <w:r>
        <w:rPr>
          <w:rFonts w:hint="eastAsia" w:ascii="宋体" w:hAnsi="宋体" w:eastAsia="宋体" w:cs="宋体"/>
          <w:color w:val="auto"/>
          <w:sz w:val="22"/>
          <w:szCs w:val="22"/>
          <w:highlight w:val="none"/>
          <w:lang w:val="en-US" w:eastAsia="zh-CN"/>
        </w:rPr>
        <w:t>方式处理。</w:t>
      </w:r>
    </w:p>
    <w:p w14:paraId="15FAA1EC">
      <w:pPr>
        <w:pageBreakBefore w:val="0"/>
        <w:numPr>
          <w:ilvl w:val="0"/>
          <w:numId w:val="0"/>
        </w:numPr>
        <w:kinsoku/>
        <w:wordWrap/>
        <w:overflowPunct/>
        <w:topLinePunct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A:</w:t>
      </w:r>
      <w:r>
        <w:rPr>
          <w:rFonts w:hint="eastAsia" w:ascii="宋体" w:hAnsi="宋体" w:eastAsia="宋体" w:cs="宋体"/>
          <w:color w:val="auto"/>
          <w:sz w:val="22"/>
          <w:szCs w:val="22"/>
          <w:highlight w:val="none"/>
        </w:rPr>
        <w:t>任何一方可向甲方所在地仲裁机构提请仲裁</w:t>
      </w:r>
      <w:r>
        <w:rPr>
          <w:rFonts w:hint="eastAsia" w:ascii="宋体" w:hAnsi="宋体" w:eastAsia="宋体" w:cs="宋体"/>
          <w:color w:val="auto"/>
          <w:sz w:val="22"/>
          <w:szCs w:val="22"/>
          <w:highlight w:val="none"/>
          <w:lang w:eastAsia="zh-CN"/>
        </w:rPr>
        <w:t>；</w:t>
      </w:r>
    </w:p>
    <w:p w14:paraId="26321A3D">
      <w:pPr>
        <w:pageBreakBefore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B:</w:t>
      </w:r>
      <w:r>
        <w:rPr>
          <w:rFonts w:hint="eastAsia" w:ascii="宋体" w:hAnsi="宋体" w:eastAsia="宋体" w:cs="宋体"/>
          <w:color w:val="auto"/>
          <w:sz w:val="22"/>
          <w:szCs w:val="22"/>
          <w:highlight w:val="none"/>
        </w:rPr>
        <w:t>任何一方可向甲方所在地人民法院提起诉讼。</w:t>
      </w:r>
    </w:p>
    <w:p w14:paraId="04CB61B0">
      <w:pPr>
        <w:pageBreakBefore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2.0</w:t>
      </w:r>
      <w:r>
        <w:rPr>
          <w:rFonts w:hint="eastAsia" w:ascii="宋体" w:hAnsi="宋体" w:eastAsia="宋体" w:cs="宋体"/>
          <w:b/>
          <w:bCs/>
          <w:color w:val="auto"/>
          <w:sz w:val="22"/>
          <w:szCs w:val="22"/>
          <w:highlight w:val="none"/>
        </w:rPr>
        <w:t>其他</w:t>
      </w:r>
    </w:p>
    <w:p w14:paraId="1595DFD3">
      <w:pPr>
        <w:pageBreakBefore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2.0.1</w:t>
      </w:r>
      <w:r>
        <w:rPr>
          <w:rFonts w:hint="eastAsia" w:ascii="宋体" w:hAnsi="宋体" w:eastAsia="宋体" w:cs="宋体"/>
          <w:color w:val="auto"/>
          <w:sz w:val="22"/>
          <w:szCs w:val="22"/>
          <w:highlight w:val="none"/>
        </w:rPr>
        <w:t>本合同一式伍份，甲方叁份、乙方贰份。</w:t>
      </w:r>
    </w:p>
    <w:p w14:paraId="34A9F1E4">
      <w:pPr>
        <w:pageBreakBefore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2.0.2</w:t>
      </w:r>
      <w:r>
        <w:rPr>
          <w:rFonts w:hint="eastAsia" w:ascii="宋体" w:hAnsi="宋体" w:eastAsia="宋体" w:cs="宋体"/>
          <w:color w:val="auto"/>
          <w:sz w:val="22"/>
          <w:szCs w:val="22"/>
          <w:highlight w:val="none"/>
        </w:rPr>
        <w:t>合同经甲乙双方签字盖章后生效。</w:t>
      </w:r>
    </w:p>
    <w:p w14:paraId="43BFFC0C">
      <w:pPr>
        <w:pageBreakBefore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2.0.3</w:t>
      </w:r>
      <w:r>
        <w:rPr>
          <w:rFonts w:hint="eastAsia" w:ascii="宋体" w:hAnsi="宋体" w:eastAsia="宋体" w:cs="宋体"/>
          <w:color w:val="auto"/>
          <w:sz w:val="22"/>
          <w:szCs w:val="22"/>
          <w:highlight w:val="none"/>
        </w:rPr>
        <w:t>如需修改或补充合同内容，双方应协商一致并签署书面修改或补充协议，该协议将作为本合同的组成部分。</w:t>
      </w:r>
    </w:p>
    <w:p w14:paraId="6768C4A3">
      <w:pPr>
        <w:pageBreakBefore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lang w:val="zh-CN"/>
        </w:rPr>
      </w:pPr>
    </w:p>
    <w:p w14:paraId="3BF5A663">
      <w:pPr>
        <w:keepNext w:val="0"/>
        <w:keepLines w:val="0"/>
        <w:pageBreakBefore w:val="0"/>
        <w:numPr>
          <w:ilvl w:val="-1"/>
          <w:numId w:val="0"/>
        </w:numPr>
        <w:kinsoku/>
        <w:wordWrap/>
        <w:overflowPunct/>
        <w:topLinePunct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u w:val="single"/>
          <w:lang w:val="zh-CN"/>
        </w:rPr>
      </w:pPr>
      <w:r>
        <w:rPr>
          <w:rFonts w:hint="eastAsia" w:ascii="宋体" w:hAnsi="宋体" w:eastAsia="宋体" w:cs="宋体"/>
          <w:color w:val="auto"/>
          <w:sz w:val="22"/>
          <w:szCs w:val="22"/>
          <w:highlight w:val="none"/>
          <w:lang w:val="zh-CN"/>
        </w:rPr>
        <w:t>甲方（盖章）：</w:t>
      </w:r>
      <w:r>
        <w:rPr>
          <w:rFonts w:hint="eastAsia" w:ascii="宋体" w:hAnsi="宋体" w:eastAsia="宋体" w:cs="宋体"/>
          <w:color w:val="auto"/>
          <w:sz w:val="22"/>
          <w:szCs w:val="22"/>
          <w:highlight w:val="none"/>
          <w:lang w:val="en-US"/>
        </w:rPr>
        <w:t xml:space="preserve">         </w:t>
      </w:r>
      <w:r>
        <w:rPr>
          <w:rFonts w:hint="eastAsia" w:ascii="宋体" w:hAnsi="宋体" w:eastAsia="宋体" w:cs="宋体"/>
          <w:color w:val="auto"/>
          <w:sz w:val="22"/>
          <w:szCs w:val="22"/>
          <w:highlight w:val="none"/>
          <w:lang w:val="zh-CN"/>
        </w:rPr>
        <w:t xml:space="preserve">        乙方（盖章）： </w:t>
      </w:r>
    </w:p>
    <w:p w14:paraId="0D0A532F">
      <w:pPr>
        <w:keepNext w:val="0"/>
        <w:keepLines w:val="0"/>
        <w:pageBreakBefore w:val="0"/>
        <w:numPr>
          <w:ilvl w:val="-1"/>
          <w:numId w:val="0"/>
        </w:numPr>
        <w:kinsoku/>
        <w:wordWrap/>
        <w:overflowPunct/>
        <w:topLinePunct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 xml:space="preserve">法人代表：                     法人代表： </w:t>
      </w:r>
    </w:p>
    <w:p w14:paraId="1F619FF8">
      <w:pPr>
        <w:keepNext w:val="0"/>
        <w:keepLines w:val="0"/>
        <w:pageBreakBefore w:val="0"/>
        <w:numPr>
          <w:ilvl w:val="-1"/>
          <w:numId w:val="0"/>
        </w:numPr>
        <w:kinsoku/>
        <w:wordWrap/>
        <w:overflowPunct/>
        <w:topLinePunct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 xml:space="preserve">委托代理人（签字）：           委托代理人（签字）： </w:t>
      </w:r>
    </w:p>
    <w:p w14:paraId="1CF6ECDB">
      <w:pPr>
        <w:keepNext w:val="0"/>
        <w:keepLines w:val="0"/>
        <w:pageBreakBefore w:val="0"/>
        <w:numPr>
          <w:ilvl w:val="-1"/>
          <w:numId w:val="0"/>
        </w:numPr>
        <w:kinsoku/>
        <w:wordWrap/>
        <w:overflowPunct/>
        <w:topLinePunct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 xml:space="preserve">联系电话：                    </w:t>
      </w:r>
      <w:r>
        <w:rPr>
          <w:rFonts w:hint="eastAsia" w:ascii="宋体" w:hAnsi="宋体" w:eastAsia="宋体" w:cs="宋体"/>
          <w:color w:val="auto"/>
          <w:sz w:val="22"/>
          <w:szCs w:val="22"/>
          <w:highlight w:val="none"/>
          <w:lang w:val="en-US"/>
        </w:rPr>
        <w:t xml:space="preserve"> </w:t>
      </w:r>
      <w:r>
        <w:rPr>
          <w:rFonts w:hint="eastAsia" w:ascii="宋体" w:hAnsi="宋体" w:eastAsia="宋体" w:cs="宋体"/>
          <w:color w:val="auto"/>
          <w:sz w:val="22"/>
          <w:szCs w:val="22"/>
          <w:highlight w:val="none"/>
          <w:lang w:val="zh-CN"/>
        </w:rPr>
        <w:t xml:space="preserve">联系电话： </w:t>
      </w:r>
    </w:p>
    <w:p w14:paraId="72F37AED">
      <w:pPr>
        <w:keepNext w:val="0"/>
        <w:keepLines w:val="0"/>
        <w:pageBreakBefore w:val="0"/>
        <w:numPr>
          <w:ilvl w:val="-1"/>
          <w:numId w:val="0"/>
        </w:numPr>
        <w:kinsoku/>
        <w:wordWrap/>
        <w:overflowPunct/>
        <w:topLinePunct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 xml:space="preserve">地    址：                     地    址： </w:t>
      </w:r>
    </w:p>
    <w:p w14:paraId="049ACDFF">
      <w:pPr>
        <w:keepNext w:val="0"/>
        <w:keepLines w:val="0"/>
        <w:pageBreakBefore w:val="0"/>
        <w:numPr>
          <w:ilvl w:val="-1"/>
          <w:numId w:val="0"/>
        </w:numPr>
        <w:kinsoku/>
        <w:wordWrap/>
        <w:overflowPunct/>
        <w:topLinePunct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纳税人名称：</w:t>
      </w:r>
      <w:r>
        <w:rPr>
          <w:rFonts w:hint="eastAsia" w:ascii="宋体" w:hAnsi="宋体" w:eastAsia="宋体" w:cs="宋体"/>
          <w:color w:val="auto"/>
          <w:sz w:val="22"/>
          <w:szCs w:val="22"/>
          <w:highlight w:val="none"/>
          <w:lang w:val="en-US"/>
        </w:rPr>
        <w:t xml:space="preserve">   </w:t>
      </w:r>
      <w:r>
        <w:rPr>
          <w:rFonts w:hint="eastAsia" w:ascii="宋体" w:hAnsi="宋体" w:eastAsia="宋体" w:cs="宋体"/>
          <w:color w:val="auto"/>
          <w:sz w:val="22"/>
          <w:szCs w:val="22"/>
          <w:highlight w:val="none"/>
          <w:lang w:val="zh-CN"/>
        </w:rPr>
        <w:t xml:space="preserve">                纳税人名称： </w:t>
      </w:r>
    </w:p>
    <w:p w14:paraId="1E8302B8">
      <w:pPr>
        <w:keepNext w:val="0"/>
        <w:keepLines w:val="0"/>
        <w:pageBreakBefore w:val="0"/>
        <w:numPr>
          <w:ilvl w:val="-1"/>
          <w:numId w:val="0"/>
        </w:numPr>
        <w:kinsoku/>
        <w:wordWrap/>
        <w:overflowPunct/>
        <w:topLinePunct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 xml:space="preserve">纳税人识别号：                </w:t>
      </w:r>
      <w:r>
        <w:rPr>
          <w:rFonts w:hint="eastAsia" w:ascii="宋体" w:hAnsi="宋体" w:eastAsia="宋体" w:cs="宋体"/>
          <w:color w:val="auto"/>
          <w:sz w:val="22"/>
          <w:szCs w:val="22"/>
          <w:highlight w:val="none"/>
          <w:lang w:val="en-US"/>
        </w:rPr>
        <w:t xml:space="preserve"> </w:t>
      </w:r>
      <w:r>
        <w:rPr>
          <w:rFonts w:hint="eastAsia" w:ascii="宋体" w:hAnsi="宋体" w:eastAsia="宋体" w:cs="宋体"/>
          <w:color w:val="auto"/>
          <w:sz w:val="22"/>
          <w:szCs w:val="22"/>
          <w:highlight w:val="none"/>
          <w:lang w:val="zh-CN"/>
        </w:rPr>
        <w:t xml:space="preserve">纳税人识别号： </w:t>
      </w:r>
    </w:p>
    <w:p w14:paraId="1818858F">
      <w:pPr>
        <w:keepNext w:val="0"/>
        <w:keepLines w:val="0"/>
        <w:pageBreakBefore w:val="0"/>
        <w:numPr>
          <w:ilvl w:val="-1"/>
          <w:numId w:val="0"/>
        </w:numPr>
        <w:kinsoku/>
        <w:wordWrap/>
        <w:overflowPunct/>
        <w:topLinePunct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 xml:space="preserve">开户行：                       开户行： </w:t>
      </w:r>
    </w:p>
    <w:p w14:paraId="10F29E4D">
      <w:pPr>
        <w:keepNext w:val="0"/>
        <w:keepLines w:val="0"/>
        <w:pageBreakBefore w:val="0"/>
        <w:numPr>
          <w:ilvl w:val="-1"/>
          <w:numId w:val="0"/>
        </w:numPr>
        <w:kinsoku/>
        <w:wordWrap/>
        <w:overflowPunct/>
        <w:topLinePunct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 xml:space="preserve">账号：                         账号： </w:t>
      </w:r>
    </w:p>
    <w:p w14:paraId="280A35A1">
      <w:pPr>
        <w:keepNext w:val="0"/>
        <w:keepLines w:val="0"/>
        <w:pageBreakBefore w:val="0"/>
        <w:numPr>
          <w:ilvl w:val="-1"/>
          <w:numId w:val="0"/>
        </w:numPr>
        <w:kinsoku/>
        <w:wordWrap/>
        <w:overflowPunct/>
        <w:topLinePunct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 xml:space="preserve">日期：                         日期：  </w:t>
      </w:r>
    </w:p>
    <w:p w14:paraId="56EA02EC">
      <w:pPr>
        <w:spacing w:line="360" w:lineRule="exact"/>
        <w:outlineLvl w:val="9"/>
        <w:rPr>
          <w:rFonts w:ascii="宋体" w:hAnsi="宋体" w:cs="宋体"/>
          <w:color w:val="auto"/>
          <w:sz w:val="22"/>
          <w:szCs w:val="22"/>
          <w:highlight w:val="none"/>
        </w:rPr>
      </w:pPr>
      <w:r>
        <w:rPr>
          <w:rFonts w:hint="eastAsia" w:ascii="宋体" w:hAnsi="宋体" w:cs="宋体"/>
          <w:color w:val="auto"/>
          <w:sz w:val="22"/>
          <w:szCs w:val="22"/>
          <w:highlight w:val="none"/>
        </w:rPr>
        <w:br w:type="page"/>
      </w:r>
    </w:p>
    <w:p w14:paraId="48710C77">
      <w:pPr>
        <w:pStyle w:val="222"/>
        <w:snapToGrid/>
        <w:spacing w:before="100" w:after="100" w:line="240" w:lineRule="auto"/>
        <w:ind w:left="0" w:leftChars="0" w:firstLine="0" w:firstLineChars="0"/>
        <w:jc w:val="center"/>
        <w:outlineLvl w:val="9"/>
        <w:rPr>
          <w:rFonts w:ascii="黑体" w:hAnsi="宋体" w:eastAsia="黑体" w:cs="宋体"/>
          <w:color w:val="auto"/>
          <w:sz w:val="44"/>
          <w:szCs w:val="40"/>
          <w:highlight w:val="none"/>
        </w:rPr>
      </w:pPr>
      <w:r>
        <w:rPr>
          <w:rFonts w:hint="eastAsia" w:ascii="黑体" w:hAnsi="宋体" w:eastAsia="黑体" w:cs="宋体"/>
          <w:color w:val="auto"/>
          <w:sz w:val="44"/>
          <w:szCs w:val="40"/>
          <w:highlight w:val="none"/>
        </w:rPr>
        <w:t>二、 合同一般条款</w:t>
      </w:r>
    </w:p>
    <w:p w14:paraId="04D003A5">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0" w:firstLineChars="0"/>
        <w:jc w:val="left"/>
        <w:textAlignment w:val="auto"/>
        <w:outlineLvl w:val="9"/>
        <w:rPr>
          <w:rFonts w:hint="eastAsia" w:ascii="宋体" w:hAnsi="宋体" w:eastAsia="宋体" w:cs="宋体"/>
          <w:b w:val="0"/>
          <w:color w:val="auto"/>
          <w:sz w:val="22"/>
          <w:szCs w:val="22"/>
          <w:highlight w:val="none"/>
        </w:rPr>
      </w:pPr>
      <w:bookmarkStart w:id="92" w:name="_Toc5228"/>
      <w:bookmarkStart w:id="93" w:name="_Toc14021"/>
      <w:bookmarkStart w:id="94" w:name="_Toc31297"/>
      <w:bookmarkStart w:id="95" w:name="_Toc19680"/>
      <w:bookmarkStart w:id="96" w:name="_Toc25079"/>
      <w:r>
        <w:rPr>
          <w:rFonts w:hint="eastAsia" w:ascii="宋体" w:hAnsi="宋体" w:eastAsia="宋体" w:cs="宋体"/>
          <w:b w:val="0"/>
          <w:color w:val="auto"/>
          <w:sz w:val="22"/>
          <w:szCs w:val="22"/>
          <w:highlight w:val="none"/>
        </w:rPr>
        <w:t>2.1 定义</w:t>
      </w:r>
      <w:bookmarkEnd w:id="92"/>
      <w:bookmarkEnd w:id="93"/>
      <w:bookmarkEnd w:id="94"/>
      <w:bookmarkEnd w:id="95"/>
      <w:bookmarkEnd w:id="96"/>
    </w:p>
    <w:p w14:paraId="199CCF58">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本合同中的下列词语应按以下内容进行解释：</w:t>
      </w:r>
    </w:p>
    <w:p w14:paraId="03D3C1BC">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2.1.1 “合同”系指采购人和中标或成交供应商签订的载明双方当事人所达成的协议，并包括所有的附件、附录和构成合同的其他文件。</w:t>
      </w:r>
    </w:p>
    <w:p w14:paraId="22A8B73D">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2.1.2 “合同价”系指根据合同约定，中标或成交供应商在完全履行合同义务后，采购人应支付给中标或成交供应商的价格。</w:t>
      </w:r>
    </w:p>
    <w:p w14:paraId="726AB847">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2.1.3 “服务”系指中标或成交供应商根据合同约定应向采购人履行的除货物和工程以外的其他政府采购对象，包括采购人自身需要的服务和向社会公众提供的公共服务。</w:t>
      </w:r>
    </w:p>
    <w:p w14:paraId="0E7E3D64">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2.1.4 “甲方”系指与中标或成交供应商签署合同的采购人；采购人委托采购代理机构代表其与乙方签订合同的，采购人的授权委托书作为合同附件。</w:t>
      </w:r>
    </w:p>
    <w:p w14:paraId="2872D512">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46CFBB3">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2.1.6 “现场”系指合同约定提供服务的地点。</w:t>
      </w:r>
    </w:p>
    <w:p w14:paraId="016F3988">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0" w:firstLineChars="0"/>
        <w:jc w:val="left"/>
        <w:textAlignment w:val="auto"/>
        <w:outlineLvl w:val="9"/>
        <w:rPr>
          <w:rFonts w:hint="eastAsia" w:ascii="宋体" w:hAnsi="宋体" w:eastAsia="宋体" w:cs="宋体"/>
          <w:b w:val="0"/>
          <w:color w:val="auto"/>
          <w:sz w:val="22"/>
          <w:szCs w:val="22"/>
          <w:highlight w:val="none"/>
        </w:rPr>
      </w:pPr>
      <w:bookmarkStart w:id="97" w:name="_Toc19539"/>
      <w:bookmarkStart w:id="98" w:name="_Toc16752"/>
      <w:bookmarkStart w:id="99" w:name="_Toc23289"/>
      <w:bookmarkStart w:id="100" w:name="_Toc3769"/>
      <w:bookmarkStart w:id="101" w:name="_Toc31402"/>
      <w:r>
        <w:rPr>
          <w:rFonts w:hint="eastAsia" w:ascii="宋体" w:hAnsi="宋体" w:eastAsia="宋体" w:cs="宋体"/>
          <w:b w:val="0"/>
          <w:color w:val="auto"/>
          <w:sz w:val="22"/>
          <w:szCs w:val="22"/>
          <w:highlight w:val="none"/>
        </w:rPr>
        <w:t>2.2 技术规范</w:t>
      </w:r>
      <w:bookmarkEnd w:id="97"/>
      <w:bookmarkEnd w:id="98"/>
      <w:bookmarkEnd w:id="99"/>
      <w:bookmarkEnd w:id="100"/>
      <w:bookmarkEnd w:id="101"/>
    </w:p>
    <w:p w14:paraId="61206659">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58EBC51">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0" w:firstLineChars="0"/>
        <w:jc w:val="left"/>
        <w:textAlignment w:val="auto"/>
        <w:outlineLvl w:val="9"/>
        <w:rPr>
          <w:rFonts w:hint="eastAsia" w:ascii="宋体" w:hAnsi="宋体" w:eastAsia="宋体" w:cs="宋体"/>
          <w:b w:val="0"/>
          <w:color w:val="auto"/>
          <w:sz w:val="22"/>
          <w:szCs w:val="22"/>
          <w:highlight w:val="none"/>
        </w:rPr>
      </w:pPr>
      <w:bookmarkStart w:id="102" w:name="_Toc9161"/>
      <w:bookmarkStart w:id="103" w:name="_Toc13673"/>
      <w:bookmarkStart w:id="104" w:name="_Toc27945"/>
      <w:bookmarkStart w:id="105" w:name="_Toc12412"/>
      <w:bookmarkStart w:id="106" w:name="_Toc4133"/>
      <w:r>
        <w:rPr>
          <w:rFonts w:hint="eastAsia" w:ascii="宋体" w:hAnsi="宋体" w:eastAsia="宋体" w:cs="宋体"/>
          <w:b w:val="0"/>
          <w:color w:val="auto"/>
          <w:sz w:val="22"/>
          <w:szCs w:val="22"/>
          <w:highlight w:val="none"/>
        </w:rPr>
        <w:t>2.3 知识产权</w:t>
      </w:r>
      <w:bookmarkEnd w:id="102"/>
      <w:bookmarkEnd w:id="103"/>
      <w:bookmarkEnd w:id="104"/>
      <w:bookmarkEnd w:id="105"/>
      <w:bookmarkEnd w:id="106"/>
    </w:p>
    <w:p w14:paraId="32D4D83C">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2D392FB">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2.3.2 合同涉及技术成果的归属和收益的分成办法的，详见</w:t>
      </w:r>
      <w:r>
        <w:rPr>
          <w:rFonts w:hint="eastAsia" w:ascii="宋体" w:hAnsi="宋体" w:eastAsia="宋体" w:cs="宋体"/>
          <w:b/>
          <w:i/>
          <w:color w:val="auto"/>
          <w:sz w:val="22"/>
          <w:szCs w:val="22"/>
          <w:highlight w:val="none"/>
          <w:u w:val="single"/>
          <w:lang w:eastAsia="zh-CN"/>
        </w:rPr>
        <w:t>合同专用条款</w:t>
      </w:r>
      <w:r>
        <w:rPr>
          <w:rFonts w:hint="eastAsia" w:ascii="宋体" w:hAnsi="宋体" w:eastAsia="宋体" w:cs="宋体"/>
          <w:color w:val="auto"/>
          <w:sz w:val="22"/>
          <w:szCs w:val="22"/>
          <w:highlight w:val="none"/>
        </w:rPr>
        <w:t>。</w:t>
      </w:r>
    </w:p>
    <w:p w14:paraId="7AC46657">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0" w:firstLineChars="0"/>
        <w:jc w:val="left"/>
        <w:textAlignment w:val="auto"/>
        <w:outlineLvl w:val="9"/>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2.4 履约检查和问题反馈</w:t>
      </w:r>
    </w:p>
    <w:p w14:paraId="6BD7F6F7">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2.4.1 服务全程必须符合法律法规、行业行规；在服务期间，乙方对服务造成的任何问题或故障负责，所涉及的安全、人员健康等问题，由乙方承担责任，甲方可提供协助。</w:t>
      </w:r>
    </w:p>
    <w:p w14:paraId="6401CF9F">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2.4.3</w:t>
      </w:r>
      <w:r>
        <w:rPr>
          <w:rFonts w:hint="eastAsia" w:ascii="宋体" w:hAnsi="宋体" w:eastAsia="宋体" w:cs="宋体"/>
          <w:color w:val="auto"/>
          <w:sz w:val="22"/>
          <w:szCs w:val="22"/>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4335A4F3">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 xml:space="preserve"> 合同履行期间，甲方有权将履行过程中出现的问题反馈给乙方，双方当事人应以书面形式约定需要完善和改进的内容。</w:t>
      </w:r>
    </w:p>
    <w:p w14:paraId="321D59AA">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0" w:firstLineChars="0"/>
        <w:jc w:val="left"/>
        <w:textAlignment w:val="auto"/>
        <w:outlineLvl w:val="9"/>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2.5</w:t>
      </w:r>
      <w:r>
        <w:rPr>
          <w:rFonts w:hint="eastAsia" w:ascii="宋体" w:hAnsi="宋体" w:eastAsia="宋体" w:cs="宋体"/>
          <w:b w:val="0"/>
          <w:bCs/>
          <w:color w:val="auto"/>
          <w:sz w:val="22"/>
          <w:szCs w:val="22"/>
          <w:highlight w:val="none"/>
        </w:rPr>
        <w:t>转让和分包</w:t>
      </w:r>
    </w:p>
    <w:p w14:paraId="7012572E">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b/>
          <w:bCs/>
          <w:color w:val="auto"/>
          <w:sz w:val="22"/>
          <w:szCs w:val="22"/>
          <w:highlight w:val="none"/>
        </w:rPr>
      </w:pPr>
      <w:r>
        <w:rPr>
          <w:rFonts w:hint="eastAsia" w:ascii="宋体" w:hAnsi="宋体" w:eastAsia="宋体" w:cs="宋体"/>
          <w:bCs/>
          <w:color w:val="auto"/>
          <w:sz w:val="22"/>
          <w:szCs w:val="22"/>
          <w:highlight w:val="none"/>
        </w:rPr>
        <w:t>未经甲方事先书面同意，乙方不得将服务项目部分或全部转包给其他主体</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招标文件有约定的除外</w:t>
      </w:r>
      <w:r>
        <w:rPr>
          <w:rFonts w:hint="eastAsia" w:ascii="宋体" w:hAnsi="宋体" w:eastAsia="宋体" w:cs="宋体"/>
          <w:bCs/>
          <w:color w:val="auto"/>
          <w:sz w:val="22"/>
          <w:szCs w:val="22"/>
          <w:highlight w:val="none"/>
        </w:rPr>
        <w:t>。否则，甲方有权解除合同，没收履约保证金。</w:t>
      </w:r>
    </w:p>
    <w:p w14:paraId="78C67586">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0" w:firstLineChars="0"/>
        <w:jc w:val="left"/>
        <w:textAlignment w:val="auto"/>
        <w:outlineLvl w:val="9"/>
        <w:rPr>
          <w:rFonts w:hint="eastAsia" w:ascii="宋体" w:hAnsi="宋体" w:eastAsia="宋体" w:cs="宋体"/>
          <w:b w:val="0"/>
          <w:color w:val="auto"/>
          <w:sz w:val="22"/>
          <w:szCs w:val="22"/>
          <w:highlight w:val="none"/>
        </w:rPr>
      </w:pPr>
      <w:bookmarkStart w:id="107" w:name="_Toc13154"/>
      <w:bookmarkStart w:id="108" w:name="_Toc18990"/>
      <w:bookmarkStart w:id="109" w:name="_Toc16163"/>
      <w:bookmarkStart w:id="110" w:name="_Toc13467"/>
      <w:bookmarkStart w:id="111" w:name="_Toc30507"/>
      <w:r>
        <w:rPr>
          <w:rFonts w:hint="eastAsia" w:ascii="宋体" w:hAnsi="宋体" w:eastAsia="宋体" w:cs="宋体"/>
          <w:b w:val="0"/>
          <w:color w:val="auto"/>
          <w:sz w:val="22"/>
          <w:szCs w:val="22"/>
          <w:highlight w:val="none"/>
        </w:rPr>
        <w:t>2.6 技术资料和保密义务</w:t>
      </w:r>
      <w:bookmarkEnd w:id="107"/>
      <w:bookmarkEnd w:id="108"/>
      <w:bookmarkEnd w:id="109"/>
      <w:bookmarkEnd w:id="110"/>
      <w:bookmarkEnd w:id="111"/>
    </w:p>
    <w:p w14:paraId="59AAEC1C">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2.6.1 乙方有权依据合同约定和项目需要，向甲方了解有关情况，调阅有关资料等，甲方应予积极配合；</w:t>
      </w:r>
    </w:p>
    <w:p w14:paraId="3012C28A">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2.6.2 乙方有义务妥善保管和保护由甲方提供的前款信息和资料等；</w:t>
      </w:r>
    </w:p>
    <w:p w14:paraId="1AB6C505">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84DC5A5">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0" w:firstLineChars="0"/>
        <w:jc w:val="left"/>
        <w:textAlignment w:val="auto"/>
        <w:outlineLvl w:val="9"/>
        <w:rPr>
          <w:rFonts w:hint="eastAsia" w:ascii="宋体" w:hAnsi="宋体" w:eastAsia="宋体" w:cs="宋体"/>
          <w:b w:val="0"/>
          <w:color w:val="auto"/>
          <w:sz w:val="22"/>
          <w:szCs w:val="22"/>
          <w:highlight w:val="none"/>
        </w:rPr>
      </w:pPr>
      <w:bookmarkStart w:id="112" w:name="_Toc19069"/>
      <w:r>
        <w:rPr>
          <w:rFonts w:hint="eastAsia" w:ascii="宋体" w:hAnsi="宋体" w:eastAsia="宋体" w:cs="宋体"/>
          <w:b w:val="0"/>
          <w:color w:val="auto"/>
          <w:sz w:val="22"/>
          <w:szCs w:val="22"/>
          <w:highlight w:val="none"/>
        </w:rPr>
        <w:t>2.7 质量保证</w:t>
      </w:r>
      <w:bookmarkEnd w:id="112"/>
    </w:p>
    <w:p w14:paraId="62DE1819">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b w:val="0"/>
          <w:bCs/>
          <w:color w:val="auto"/>
          <w:sz w:val="22"/>
          <w:szCs w:val="22"/>
          <w:highlight w:val="none"/>
        </w:rPr>
      </w:pPr>
      <w:bookmarkStart w:id="113" w:name="_Toc22267"/>
      <w:r>
        <w:rPr>
          <w:rFonts w:hint="eastAsia" w:ascii="宋体" w:hAnsi="宋体" w:eastAsia="宋体" w:cs="宋体"/>
          <w:b w:val="0"/>
          <w:bCs/>
          <w:color w:val="auto"/>
          <w:sz w:val="22"/>
          <w:szCs w:val="22"/>
          <w:highlight w:val="none"/>
          <w:lang w:val="en-US" w:eastAsia="zh-CN"/>
        </w:rPr>
        <w:t>2.7.1</w:t>
      </w:r>
      <w:r>
        <w:rPr>
          <w:rFonts w:hint="eastAsia" w:ascii="宋体" w:hAnsi="宋体" w:eastAsia="宋体" w:cs="宋体"/>
          <w:b w:val="0"/>
          <w:bCs/>
          <w:color w:val="auto"/>
          <w:sz w:val="22"/>
          <w:szCs w:val="22"/>
          <w:highlight w:val="none"/>
        </w:rPr>
        <w:t>本合同质保期</w:t>
      </w:r>
      <w:r>
        <w:rPr>
          <w:rFonts w:hint="eastAsia" w:ascii="宋体" w:hAnsi="宋体" w:eastAsia="宋体" w:cs="宋体"/>
          <w:b w:val="0"/>
          <w:bCs/>
          <w:color w:val="auto"/>
          <w:sz w:val="22"/>
          <w:szCs w:val="22"/>
          <w:highlight w:val="none"/>
          <w:lang w:eastAsia="zh-CN"/>
        </w:rPr>
        <w:t>详见</w:t>
      </w:r>
      <w:r>
        <w:rPr>
          <w:rFonts w:hint="eastAsia" w:ascii="宋体" w:hAnsi="宋体" w:eastAsia="宋体" w:cs="宋体"/>
          <w:b/>
          <w:bCs w:val="0"/>
          <w:i/>
          <w:iCs/>
          <w:color w:val="auto"/>
          <w:sz w:val="22"/>
          <w:szCs w:val="22"/>
          <w:highlight w:val="none"/>
          <w:u w:val="single"/>
          <w:lang w:eastAsia="zh-CN"/>
        </w:rPr>
        <w:t>合同专用条款</w:t>
      </w:r>
      <w:r>
        <w:rPr>
          <w:rFonts w:hint="eastAsia" w:ascii="宋体" w:hAnsi="宋体" w:eastAsia="宋体" w:cs="宋体"/>
          <w:b/>
          <w:bCs w:val="0"/>
          <w:i/>
          <w:iCs/>
          <w:color w:val="auto"/>
          <w:sz w:val="22"/>
          <w:szCs w:val="22"/>
          <w:highlight w:val="none"/>
          <w:u w:val="single"/>
        </w:rPr>
        <w:t xml:space="preserve">   </w:t>
      </w:r>
      <w:r>
        <w:rPr>
          <w:rFonts w:hint="eastAsia" w:ascii="宋体" w:hAnsi="宋体" w:eastAsia="宋体" w:cs="宋体"/>
          <w:b w:val="0"/>
          <w:bCs/>
          <w:color w:val="auto"/>
          <w:sz w:val="22"/>
          <w:szCs w:val="22"/>
          <w:highlight w:val="none"/>
        </w:rPr>
        <w:t>，从验收合格之日起计算。在质保期内，乙方对由于产品设计、工艺、材料、配套件的缺陷而造成的任何质量问题或故障负责。</w:t>
      </w:r>
    </w:p>
    <w:p w14:paraId="6D89F7D9">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2.7.2</w:t>
      </w:r>
      <w:r>
        <w:rPr>
          <w:rFonts w:hint="eastAsia" w:ascii="宋体" w:hAnsi="宋体" w:eastAsia="宋体" w:cs="宋体"/>
          <w:b w:val="0"/>
          <w:bCs/>
          <w:color w:val="auto"/>
          <w:sz w:val="22"/>
          <w:szCs w:val="22"/>
          <w:highlight w:val="none"/>
        </w:rPr>
        <w:t>由于甲方保管不善或使用不当造成设备短缺、故障或损坏的，由甲方负责。但乙方保证及时给予补齐和修复。</w:t>
      </w:r>
    </w:p>
    <w:p w14:paraId="63353C57">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2.7.3售后服务要求详见</w:t>
      </w:r>
      <w:r>
        <w:rPr>
          <w:rFonts w:hint="eastAsia" w:ascii="宋体" w:hAnsi="宋体" w:eastAsia="宋体" w:cs="宋体"/>
          <w:b/>
          <w:bCs w:val="0"/>
          <w:i/>
          <w:iCs/>
          <w:color w:val="auto"/>
          <w:sz w:val="22"/>
          <w:szCs w:val="22"/>
          <w:highlight w:val="none"/>
          <w:u w:val="single"/>
          <w:lang w:eastAsia="zh-CN"/>
        </w:rPr>
        <w:t>合同专用条款</w:t>
      </w:r>
      <w:r>
        <w:rPr>
          <w:rFonts w:hint="eastAsia" w:ascii="宋体" w:hAnsi="宋体" w:eastAsia="宋体" w:cs="宋体"/>
          <w:b/>
          <w:bCs w:val="0"/>
          <w:i/>
          <w:iCs/>
          <w:color w:val="auto"/>
          <w:sz w:val="22"/>
          <w:szCs w:val="22"/>
          <w:highlight w:val="none"/>
          <w:u w:val="single"/>
        </w:rPr>
        <w:t xml:space="preserve">  </w:t>
      </w:r>
      <w:r>
        <w:rPr>
          <w:rFonts w:hint="eastAsia" w:ascii="宋体" w:hAnsi="宋体" w:eastAsia="宋体" w:cs="宋体"/>
          <w:b w:val="0"/>
          <w:bCs/>
          <w:color w:val="auto"/>
          <w:sz w:val="22"/>
          <w:szCs w:val="22"/>
          <w:highlight w:val="none"/>
          <w:lang w:eastAsia="zh-CN"/>
        </w:rPr>
        <w:t>。</w:t>
      </w:r>
    </w:p>
    <w:p w14:paraId="082F691F">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0" w:firstLineChars="0"/>
        <w:jc w:val="left"/>
        <w:textAlignment w:val="auto"/>
        <w:outlineLvl w:val="9"/>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2.8 延迟履行</w:t>
      </w:r>
      <w:bookmarkEnd w:id="113"/>
    </w:p>
    <w:p w14:paraId="199858AD">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2F847667">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0" w:firstLineChars="0"/>
        <w:jc w:val="left"/>
        <w:textAlignment w:val="auto"/>
        <w:outlineLvl w:val="9"/>
        <w:rPr>
          <w:rFonts w:hint="eastAsia" w:ascii="宋体" w:hAnsi="宋体" w:eastAsia="宋体" w:cs="宋体"/>
          <w:b w:val="0"/>
          <w:color w:val="auto"/>
          <w:sz w:val="22"/>
          <w:szCs w:val="22"/>
          <w:highlight w:val="none"/>
        </w:rPr>
      </w:pPr>
      <w:bookmarkStart w:id="114" w:name="_Toc10611"/>
      <w:r>
        <w:rPr>
          <w:rFonts w:hint="eastAsia" w:ascii="宋体" w:hAnsi="宋体" w:eastAsia="宋体" w:cs="宋体"/>
          <w:b w:val="0"/>
          <w:color w:val="auto"/>
          <w:sz w:val="22"/>
          <w:szCs w:val="22"/>
          <w:highlight w:val="none"/>
        </w:rPr>
        <w:t>2.9 合同变更</w:t>
      </w:r>
      <w:bookmarkEnd w:id="114"/>
    </w:p>
    <w:p w14:paraId="5E304B48">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合同继续履行将损害国家利益和社会公共利益的，双方当事人应当以书面形式变更合同。有过错的一方应当承担赔偿责任，双方当事人都有过错的，各自承担相应的责任。</w:t>
      </w:r>
    </w:p>
    <w:p w14:paraId="5929ED86">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0" w:firstLineChars="0"/>
        <w:jc w:val="left"/>
        <w:textAlignment w:val="auto"/>
        <w:outlineLvl w:val="9"/>
        <w:rPr>
          <w:rFonts w:hint="eastAsia" w:ascii="宋体" w:hAnsi="宋体" w:eastAsia="宋体" w:cs="宋体"/>
          <w:b w:val="0"/>
          <w:color w:val="auto"/>
          <w:sz w:val="22"/>
          <w:szCs w:val="22"/>
          <w:highlight w:val="none"/>
        </w:rPr>
      </w:pPr>
      <w:bookmarkStart w:id="115" w:name="_Toc26689"/>
      <w:bookmarkStart w:id="116" w:name="_Toc42"/>
      <w:bookmarkStart w:id="117" w:name="_Toc10663"/>
      <w:bookmarkStart w:id="118" w:name="_Toc23368"/>
      <w:bookmarkStart w:id="119" w:name="_Toc21830"/>
      <w:r>
        <w:rPr>
          <w:rFonts w:hint="eastAsia" w:ascii="宋体" w:hAnsi="宋体" w:eastAsia="宋体" w:cs="宋体"/>
          <w:b w:val="0"/>
          <w:color w:val="auto"/>
          <w:sz w:val="22"/>
          <w:szCs w:val="22"/>
          <w:highlight w:val="none"/>
        </w:rPr>
        <w:t>2.10 合同转让和分包</w:t>
      </w:r>
      <w:bookmarkEnd w:id="115"/>
      <w:bookmarkEnd w:id="116"/>
      <w:bookmarkEnd w:id="117"/>
      <w:bookmarkEnd w:id="118"/>
      <w:bookmarkEnd w:id="119"/>
    </w:p>
    <w:p w14:paraId="6B328E49">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458F2A7">
      <w:pPr>
        <w:keepNext w:val="0"/>
        <w:keepLines w:val="0"/>
        <w:pageBreakBefore w:val="0"/>
        <w:widowControl w:val="0"/>
        <w:numPr>
          <w:ilvl w:val="0"/>
          <w:numId w:val="0"/>
        </w:numPr>
        <w:kinsoku/>
        <w:wordWrap/>
        <w:overflowPunct/>
        <w:topLinePunct w:val="0"/>
        <w:bidi w:val="0"/>
        <w:adjustRightInd/>
        <w:snapToGrid/>
        <w:spacing w:beforeAutospacing="0" w:afterAutospacing="0" w:line="440" w:lineRule="exact"/>
        <w:ind w:left="0" w:leftChars="0" w:right="0" w:rightChars="0" w:firstLine="0" w:firstLineChars="0"/>
        <w:jc w:val="left"/>
        <w:textAlignment w:val="auto"/>
        <w:outlineLvl w:val="9"/>
        <w:rPr>
          <w:rFonts w:hint="eastAsia" w:ascii="宋体" w:hAnsi="宋体" w:eastAsia="宋体" w:cs="宋体"/>
          <w:b w:val="0"/>
          <w:color w:val="auto"/>
          <w:sz w:val="22"/>
          <w:szCs w:val="22"/>
          <w:highlight w:val="none"/>
        </w:rPr>
      </w:pPr>
      <w:bookmarkStart w:id="120" w:name="_Toc26633"/>
      <w:bookmarkStart w:id="121" w:name="_Toc25571"/>
      <w:bookmarkStart w:id="122" w:name="_Toc4720"/>
      <w:bookmarkStart w:id="123" w:name="_Toc14371"/>
      <w:bookmarkStart w:id="124" w:name="_Toc32494"/>
      <w:r>
        <w:rPr>
          <w:rFonts w:hint="eastAsia" w:ascii="宋体" w:hAnsi="宋体" w:eastAsia="宋体" w:cs="宋体"/>
          <w:b w:val="0"/>
          <w:color w:val="auto"/>
          <w:sz w:val="22"/>
          <w:szCs w:val="22"/>
          <w:highlight w:val="none"/>
        </w:rPr>
        <w:t>2.11 不可抗力</w:t>
      </w:r>
      <w:bookmarkEnd w:id="120"/>
      <w:bookmarkEnd w:id="121"/>
      <w:bookmarkEnd w:id="122"/>
      <w:bookmarkEnd w:id="123"/>
      <w:bookmarkEnd w:id="124"/>
    </w:p>
    <w:p w14:paraId="404BA41F">
      <w:pPr>
        <w:keepNext w:val="0"/>
        <w:keepLines w:val="0"/>
        <w:pageBreakBefore w:val="0"/>
        <w:widowControl w:val="0"/>
        <w:numPr>
          <w:ilvl w:val="0"/>
          <w:numId w:val="0"/>
        </w:numPr>
        <w:kinsoku/>
        <w:wordWrap/>
        <w:overflowPunct/>
        <w:topLinePunct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lang w:eastAsia="zh-CN"/>
        </w:rPr>
      </w:pPr>
      <w:bookmarkStart w:id="125" w:name="_Toc3638"/>
      <w:bookmarkStart w:id="126" w:name="_Toc23854"/>
      <w:bookmarkStart w:id="127" w:name="_Toc24465"/>
      <w:bookmarkStart w:id="128" w:name="_Toc25783"/>
      <w:bookmarkStart w:id="129" w:name="_Toc14115"/>
      <w:r>
        <w:rPr>
          <w:rFonts w:hint="eastAsia" w:ascii="宋体" w:hAnsi="宋体" w:eastAsia="宋体" w:cs="宋体"/>
          <w:color w:val="auto"/>
          <w:sz w:val="22"/>
          <w:szCs w:val="22"/>
          <w:highlight w:val="none"/>
        </w:rPr>
        <w:t>2.12.1如果任何一方遭遇法律规定的不可抗力，致使合同履行受阻时，履行合同的期限应予延长，延长的期限应相当于不可抗力所影响的时间；因不可抗力致使合同有变更必要的，</w:t>
      </w:r>
      <w:r>
        <w:rPr>
          <w:rFonts w:hint="eastAsia" w:ascii="宋体" w:hAnsi="宋体" w:eastAsia="宋体" w:cs="宋体"/>
          <w:b/>
          <w:bCs/>
          <w:color w:val="auto"/>
          <w:sz w:val="22"/>
          <w:szCs w:val="22"/>
          <w:highlight w:val="none"/>
        </w:rPr>
        <w:t>双方当事人</w:t>
      </w:r>
      <w:r>
        <w:rPr>
          <w:rFonts w:hint="eastAsia" w:ascii="宋体" w:hAnsi="宋体" w:eastAsia="宋体" w:cs="宋体"/>
          <w:b/>
          <w:bCs/>
          <w:color w:val="auto"/>
          <w:sz w:val="22"/>
          <w:szCs w:val="22"/>
          <w:highlight w:val="none"/>
          <w:lang w:val="en-US" w:eastAsia="zh-CN"/>
        </w:rPr>
        <w:t>另行约定</w:t>
      </w:r>
      <w:r>
        <w:rPr>
          <w:rFonts w:hint="eastAsia" w:ascii="宋体" w:hAnsi="宋体" w:eastAsia="宋体" w:cs="宋体"/>
          <w:color w:val="auto"/>
          <w:sz w:val="22"/>
          <w:szCs w:val="22"/>
          <w:highlight w:val="none"/>
          <w:lang w:eastAsia="zh-CN"/>
        </w:rPr>
        <w:t>。</w:t>
      </w:r>
    </w:p>
    <w:p w14:paraId="537639DD">
      <w:pPr>
        <w:keepNext w:val="0"/>
        <w:keepLines w:val="0"/>
        <w:pageBreakBefore w:val="0"/>
        <w:widowControl w:val="0"/>
        <w:numPr>
          <w:ilvl w:val="0"/>
          <w:numId w:val="0"/>
        </w:numPr>
        <w:kinsoku/>
        <w:wordWrap/>
        <w:overflowPunct/>
        <w:topLinePunct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2.12.2 因不可抗力致使不能实现合同目的的，当事人可以解除合同</w:t>
      </w:r>
      <w:r>
        <w:rPr>
          <w:rFonts w:hint="eastAsia" w:ascii="宋体" w:hAnsi="宋体" w:eastAsia="宋体" w:cs="宋体"/>
          <w:color w:val="auto"/>
          <w:sz w:val="22"/>
          <w:szCs w:val="22"/>
          <w:highlight w:val="none"/>
          <w:lang w:eastAsia="zh-CN"/>
        </w:rPr>
        <w:t>。</w:t>
      </w:r>
    </w:p>
    <w:p w14:paraId="5233553A">
      <w:pPr>
        <w:keepNext w:val="0"/>
        <w:keepLines w:val="0"/>
        <w:pageBreakBefore w:val="0"/>
        <w:widowControl w:val="0"/>
        <w:numPr>
          <w:ilvl w:val="0"/>
          <w:numId w:val="0"/>
        </w:numPr>
        <w:kinsoku/>
        <w:wordWrap/>
        <w:overflowPunct/>
        <w:topLinePunct w:val="0"/>
        <w:bidi w:val="0"/>
        <w:adjustRightInd/>
        <w:snapToGrid/>
        <w:spacing w:beforeAutospacing="0" w:afterAutospacing="0" w:line="440" w:lineRule="exact"/>
        <w:ind w:left="0" w:leftChars="0" w:right="0" w:rightChars="0" w:firstLine="0" w:firstLineChars="0"/>
        <w:jc w:val="left"/>
        <w:textAlignment w:val="auto"/>
        <w:outlineLvl w:val="9"/>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2.12 税费</w:t>
      </w:r>
      <w:bookmarkEnd w:id="125"/>
      <w:bookmarkEnd w:id="126"/>
      <w:bookmarkEnd w:id="127"/>
      <w:bookmarkEnd w:id="128"/>
      <w:bookmarkEnd w:id="129"/>
    </w:p>
    <w:p w14:paraId="788D8CF8">
      <w:pPr>
        <w:keepNext w:val="0"/>
        <w:keepLines w:val="0"/>
        <w:pageBreakBefore w:val="0"/>
        <w:widowControl w:val="0"/>
        <w:numPr>
          <w:ilvl w:val="0"/>
          <w:numId w:val="0"/>
        </w:numPr>
        <w:kinsoku/>
        <w:wordWrap/>
        <w:overflowPunct/>
        <w:topLinePunct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与合同有关的一切税费，均按照中华人民共和国法律的相关规定缴纳。</w:t>
      </w:r>
    </w:p>
    <w:p w14:paraId="7604548B">
      <w:pPr>
        <w:keepNext w:val="0"/>
        <w:keepLines w:val="0"/>
        <w:pageBreakBefore w:val="0"/>
        <w:widowControl w:val="0"/>
        <w:numPr>
          <w:ilvl w:val="0"/>
          <w:numId w:val="0"/>
        </w:numPr>
        <w:kinsoku/>
        <w:wordWrap/>
        <w:overflowPunct/>
        <w:topLinePunct w:val="0"/>
        <w:bidi w:val="0"/>
        <w:adjustRightInd/>
        <w:snapToGrid/>
        <w:spacing w:beforeAutospacing="0" w:afterAutospacing="0" w:line="440" w:lineRule="exact"/>
        <w:ind w:left="0" w:leftChars="0" w:right="0" w:rightChars="0" w:firstLine="0" w:firstLineChars="0"/>
        <w:jc w:val="left"/>
        <w:textAlignment w:val="auto"/>
        <w:outlineLvl w:val="9"/>
        <w:rPr>
          <w:rFonts w:hint="eastAsia" w:ascii="宋体" w:hAnsi="宋体" w:eastAsia="宋体" w:cs="宋体"/>
          <w:b w:val="0"/>
          <w:color w:val="auto"/>
          <w:sz w:val="22"/>
          <w:szCs w:val="22"/>
          <w:highlight w:val="none"/>
        </w:rPr>
      </w:pPr>
      <w:bookmarkStart w:id="130" w:name="_Toc30105"/>
      <w:bookmarkStart w:id="131" w:name="_Toc14814"/>
      <w:bookmarkStart w:id="132" w:name="_Toc7315"/>
      <w:bookmarkStart w:id="133" w:name="_Toc26883"/>
      <w:bookmarkStart w:id="134" w:name="_Toc25525"/>
      <w:r>
        <w:rPr>
          <w:rFonts w:hint="eastAsia" w:ascii="宋体" w:hAnsi="宋体" w:eastAsia="宋体" w:cs="宋体"/>
          <w:b w:val="0"/>
          <w:color w:val="auto"/>
          <w:sz w:val="22"/>
          <w:szCs w:val="22"/>
          <w:highlight w:val="none"/>
        </w:rPr>
        <w:t>2.13 乙方破产</w:t>
      </w:r>
      <w:bookmarkEnd w:id="130"/>
      <w:bookmarkEnd w:id="131"/>
      <w:bookmarkEnd w:id="132"/>
      <w:bookmarkEnd w:id="133"/>
      <w:bookmarkEnd w:id="134"/>
    </w:p>
    <w:p w14:paraId="291E7EEF">
      <w:pPr>
        <w:keepNext w:val="0"/>
        <w:keepLines w:val="0"/>
        <w:pageBreakBefore w:val="0"/>
        <w:widowControl w:val="0"/>
        <w:numPr>
          <w:ilvl w:val="0"/>
          <w:numId w:val="0"/>
        </w:numPr>
        <w:kinsoku/>
        <w:wordWrap/>
        <w:overflowPunct/>
        <w:topLinePunct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8AB8D4D">
      <w:pPr>
        <w:keepNext w:val="0"/>
        <w:keepLines w:val="0"/>
        <w:pageBreakBefore w:val="0"/>
        <w:widowControl w:val="0"/>
        <w:numPr>
          <w:ilvl w:val="0"/>
          <w:numId w:val="0"/>
        </w:numPr>
        <w:kinsoku/>
        <w:wordWrap/>
        <w:overflowPunct/>
        <w:topLinePunct w:val="0"/>
        <w:bidi w:val="0"/>
        <w:adjustRightInd/>
        <w:snapToGrid/>
        <w:spacing w:beforeAutospacing="0" w:afterAutospacing="0" w:line="440" w:lineRule="exact"/>
        <w:ind w:left="0" w:leftChars="0" w:right="0" w:rightChars="0" w:firstLine="0" w:firstLineChars="0"/>
        <w:jc w:val="left"/>
        <w:textAlignment w:val="auto"/>
        <w:outlineLvl w:val="9"/>
        <w:rPr>
          <w:rFonts w:hint="eastAsia" w:ascii="宋体" w:hAnsi="宋体" w:eastAsia="宋体" w:cs="宋体"/>
          <w:b w:val="0"/>
          <w:color w:val="auto"/>
          <w:sz w:val="22"/>
          <w:szCs w:val="22"/>
          <w:highlight w:val="none"/>
        </w:rPr>
      </w:pPr>
      <w:bookmarkStart w:id="135" w:name="_Toc23323"/>
      <w:bookmarkStart w:id="136" w:name="_Toc2016"/>
      <w:bookmarkStart w:id="137" w:name="_Toc1123"/>
      <w:r>
        <w:rPr>
          <w:rFonts w:hint="eastAsia" w:ascii="宋体" w:hAnsi="宋体" w:eastAsia="宋体" w:cs="宋体"/>
          <w:b w:val="0"/>
          <w:color w:val="auto"/>
          <w:sz w:val="22"/>
          <w:szCs w:val="22"/>
          <w:highlight w:val="none"/>
        </w:rPr>
        <w:t>2.14 合同中止、终止</w:t>
      </w:r>
      <w:bookmarkEnd w:id="135"/>
      <w:bookmarkEnd w:id="136"/>
      <w:bookmarkEnd w:id="137"/>
    </w:p>
    <w:p w14:paraId="4B5A9F9F">
      <w:pPr>
        <w:keepNext w:val="0"/>
        <w:keepLines w:val="0"/>
        <w:pageBreakBefore w:val="0"/>
        <w:widowControl w:val="0"/>
        <w:numPr>
          <w:ilvl w:val="0"/>
          <w:numId w:val="0"/>
        </w:numPr>
        <w:kinsoku/>
        <w:wordWrap/>
        <w:overflowPunct/>
        <w:topLinePunct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2.14.1 双方当事人不得擅自中止或者终止合同；</w:t>
      </w:r>
    </w:p>
    <w:p w14:paraId="681EF0AD">
      <w:pPr>
        <w:keepNext w:val="0"/>
        <w:keepLines w:val="0"/>
        <w:pageBreakBefore w:val="0"/>
        <w:widowControl w:val="0"/>
        <w:numPr>
          <w:ilvl w:val="0"/>
          <w:numId w:val="0"/>
        </w:numPr>
        <w:kinsoku/>
        <w:wordWrap/>
        <w:overflowPunct/>
        <w:topLinePunct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2.14.2合同继续履行将损害国家利益和社会公共利益的，双方当事人应当中止或者终止合同。有过错的一方应当承担赔偿责任，双方当事人都有过错的，各自承担相应的责任。</w:t>
      </w:r>
    </w:p>
    <w:p w14:paraId="6C7321EB">
      <w:pPr>
        <w:keepNext w:val="0"/>
        <w:keepLines w:val="0"/>
        <w:pageBreakBefore w:val="0"/>
        <w:widowControl w:val="0"/>
        <w:numPr>
          <w:ilvl w:val="0"/>
          <w:numId w:val="0"/>
        </w:numPr>
        <w:kinsoku/>
        <w:wordWrap/>
        <w:overflowPunct/>
        <w:topLinePunct w:val="0"/>
        <w:bidi w:val="0"/>
        <w:adjustRightInd/>
        <w:snapToGrid/>
        <w:spacing w:beforeAutospacing="0" w:afterAutospacing="0" w:line="440" w:lineRule="exact"/>
        <w:ind w:left="0" w:leftChars="0" w:right="0" w:rightChars="0" w:firstLine="0" w:firstLineChars="0"/>
        <w:jc w:val="left"/>
        <w:textAlignment w:val="auto"/>
        <w:outlineLvl w:val="9"/>
        <w:rPr>
          <w:rFonts w:hint="eastAsia" w:ascii="宋体" w:hAnsi="宋体" w:eastAsia="宋体" w:cs="宋体"/>
          <w:b w:val="0"/>
          <w:color w:val="auto"/>
          <w:sz w:val="22"/>
          <w:szCs w:val="22"/>
          <w:highlight w:val="none"/>
        </w:rPr>
      </w:pPr>
      <w:bookmarkStart w:id="138" w:name="_Toc17363"/>
      <w:bookmarkStart w:id="139" w:name="_Toc14525"/>
      <w:bookmarkStart w:id="140" w:name="_Toc1969"/>
      <w:r>
        <w:rPr>
          <w:rFonts w:hint="eastAsia" w:ascii="宋体" w:hAnsi="宋体" w:eastAsia="宋体" w:cs="宋体"/>
          <w:b w:val="0"/>
          <w:color w:val="auto"/>
          <w:sz w:val="22"/>
          <w:szCs w:val="22"/>
          <w:highlight w:val="none"/>
        </w:rPr>
        <w:t>2.15 检验和验收</w:t>
      </w:r>
      <w:bookmarkEnd w:id="138"/>
      <w:bookmarkEnd w:id="139"/>
      <w:bookmarkEnd w:id="140"/>
    </w:p>
    <w:p w14:paraId="6E967E37">
      <w:pPr>
        <w:keepNext w:val="0"/>
        <w:keepLines w:val="0"/>
        <w:pageBreakBefore w:val="0"/>
        <w:widowControl w:val="0"/>
        <w:numPr>
          <w:ilvl w:val="0"/>
          <w:numId w:val="0"/>
        </w:numPr>
        <w:tabs>
          <w:tab w:val="left" w:pos="360"/>
          <w:tab w:val="left" w:pos="540"/>
          <w:tab w:val="left" w:pos="1080"/>
        </w:tabs>
        <w:kinsoku/>
        <w:wordWrap/>
        <w:overflowPunct/>
        <w:topLinePunct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rPr>
      </w:pPr>
      <w:bookmarkStart w:id="141" w:name="_Toc25198"/>
      <w:bookmarkStart w:id="142" w:name="_Toc31892"/>
      <w:bookmarkStart w:id="143" w:name="_Toc9808"/>
      <w:bookmarkStart w:id="144" w:name="_Toc12666"/>
      <w:bookmarkStart w:id="145" w:name="_Toc2308"/>
      <w:r>
        <w:rPr>
          <w:rFonts w:hint="eastAsia" w:ascii="宋体" w:hAnsi="宋体" w:eastAsia="宋体" w:cs="宋体"/>
          <w:color w:val="auto"/>
          <w:sz w:val="22"/>
          <w:szCs w:val="22"/>
          <w:highlight w:val="none"/>
          <w:lang w:val="en-US" w:eastAsia="zh-CN"/>
        </w:rPr>
        <w:t>本项目的检验和验收</w:t>
      </w:r>
      <w:r>
        <w:rPr>
          <w:rFonts w:hint="eastAsia" w:ascii="宋体" w:hAnsi="宋体" w:eastAsia="宋体" w:cs="宋体"/>
          <w:color w:val="auto"/>
          <w:sz w:val="22"/>
          <w:szCs w:val="22"/>
          <w:highlight w:val="none"/>
        </w:rPr>
        <w:t>详见</w:t>
      </w:r>
      <w:r>
        <w:rPr>
          <w:rFonts w:hint="eastAsia" w:ascii="宋体" w:hAnsi="宋体" w:eastAsia="宋体" w:cs="宋体"/>
          <w:b/>
          <w:i/>
          <w:color w:val="auto"/>
          <w:sz w:val="22"/>
          <w:szCs w:val="22"/>
          <w:highlight w:val="none"/>
          <w:u w:val="single"/>
          <w:lang w:eastAsia="zh-CN"/>
        </w:rPr>
        <w:t>合同专用条款</w:t>
      </w:r>
      <w:r>
        <w:rPr>
          <w:rFonts w:hint="eastAsia" w:ascii="宋体" w:hAnsi="宋体" w:eastAsia="宋体" w:cs="宋体"/>
          <w:i/>
          <w:color w:val="auto"/>
          <w:sz w:val="22"/>
          <w:szCs w:val="22"/>
          <w:highlight w:val="none"/>
        </w:rPr>
        <w:t>。</w:t>
      </w:r>
    </w:p>
    <w:p w14:paraId="38469F90">
      <w:pPr>
        <w:keepNext w:val="0"/>
        <w:keepLines w:val="0"/>
        <w:pageBreakBefore w:val="0"/>
        <w:widowControl w:val="0"/>
        <w:numPr>
          <w:ilvl w:val="0"/>
          <w:numId w:val="0"/>
        </w:numPr>
        <w:kinsoku/>
        <w:wordWrap/>
        <w:overflowPunct/>
        <w:topLinePunct w:val="0"/>
        <w:bidi w:val="0"/>
        <w:adjustRightInd/>
        <w:snapToGrid/>
        <w:spacing w:beforeAutospacing="0" w:afterAutospacing="0" w:line="440" w:lineRule="exact"/>
        <w:ind w:left="0" w:leftChars="0" w:right="0" w:rightChars="0" w:firstLine="0" w:firstLineChars="0"/>
        <w:jc w:val="left"/>
        <w:textAlignment w:val="auto"/>
        <w:outlineLvl w:val="9"/>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2.16 </w:t>
      </w:r>
      <w:bookmarkEnd w:id="141"/>
      <w:bookmarkEnd w:id="142"/>
      <w:bookmarkEnd w:id="143"/>
      <w:bookmarkEnd w:id="144"/>
      <w:bookmarkEnd w:id="145"/>
      <w:bookmarkStart w:id="146" w:name="_Toc27644"/>
      <w:bookmarkStart w:id="147" w:name="_Toc5063"/>
      <w:bookmarkStart w:id="148" w:name="_Toc20808"/>
      <w:bookmarkStart w:id="149" w:name="_Toc12254"/>
      <w:bookmarkStart w:id="150" w:name="_Toc28906"/>
      <w:r>
        <w:rPr>
          <w:rFonts w:hint="eastAsia" w:ascii="宋体" w:hAnsi="宋体" w:eastAsia="宋体" w:cs="宋体"/>
          <w:b w:val="0"/>
          <w:color w:val="auto"/>
          <w:sz w:val="22"/>
          <w:szCs w:val="22"/>
          <w:highlight w:val="none"/>
        </w:rPr>
        <w:t>合同使用的文字和适用的法律</w:t>
      </w:r>
      <w:bookmarkEnd w:id="146"/>
      <w:bookmarkEnd w:id="147"/>
      <w:bookmarkEnd w:id="148"/>
      <w:bookmarkEnd w:id="149"/>
      <w:bookmarkEnd w:id="150"/>
    </w:p>
    <w:p w14:paraId="4B72B6BF">
      <w:pPr>
        <w:keepNext w:val="0"/>
        <w:keepLines w:val="0"/>
        <w:pageBreakBefore w:val="0"/>
        <w:widowControl w:val="0"/>
        <w:numPr>
          <w:ilvl w:val="0"/>
          <w:numId w:val="0"/>
        </w:numPr>
        <w:kinsoku/>
        <w:wordWrap/>
        <w:overflowPunct/>
        <w:topLinePunct w:val="0"/>
        <w:bidi w:val="0"/>
        <w:adjustRightInd/>
        <w:snapToGrid/>
        <w:spacing w:beforeAutospacing="0" w:afterAutospacing="0" w:line="440" w:lineRule="exact"/>
        <w:ind w:left="0" w:leftChars="0" w:right="0" w:rightChars="0" w:firstLine="0" w:firstLineChars="0"/>
        <w:jc w:val="left"/>
        <w:textAlignment w:val="auto"/>
        <w:outlineLvl w:val="9"/>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2.1</w:t>
      </w:r>
      <w:r>
        <w:rPr>
          <w:rFonts w:hint="eastAsia" w:ascii="宋体" w:hAnsi="宋体" w:eastAsia="宋体" w:cs="宋体"/>
          <w:b w:val="0"/>
          <w:color w:val="auto"/>
          <w:sz w:val="22"/>
          <w:szCs w:val="22"/>
          <w:highlight w:val="none"/>
          <w:lang w:val="en-US" w:eastAsia="zh-CN"/>
        </w:rPr>
        <w:t>6</w:t>
      </w:r>
      <w:r>
        <w:rPr>
          <w:rFonts w:hint="eastAsia" w:ascii="宋体" w:hAnsi="宋体" w:eastAsia="宋体" w:cs="宋体"/>
          <w:b w:val="0"/>
          <w:color w:val="auto"/>
          <w:sz w:val="22"/>
          <w:szCs w:val="22"/>
          <w:highlight w:val="none"/>
        </w:rPr>
        <w:t>.1 合同使用汉语书就、变更和解释；</w:t>
      </w:r>
    </w:p>
    <w:p w14:paraId="2599E848">
      <w:pPr>
        <w:keepNext w:val="0"/>
        <w:keepLines w:val="0"/>
        <w:pageBreakBefore w:val="0"/>
        <w:widowControl w:val="0"/>
        <w:numPr>
          <w:ilvl w:val="0"/>
          <w:numId w:val="0"/>
        </w:numPr>
        <w:kinsoku/>
        <w:wordWrap/>
        <w:overflowPunct/>
        <w:topLinePunct w:val="0"/>
        <w:bidi w:val="0"/>
        <w:adjustRightInd/>
        <w:snapToGrid/>
        <w:spacing w:beforeAutospacing="0" w:afterAutospacing="0" w:line="440" w:lineRule="exact"/>
        <w:ind w:left="0" w:leftChars="0" w:right="0" w:rightChars="0" w:firstLine="0" w:firstLineChars="0"/>
        <w:jc w:val="left"/>
        <w:textAlignment w:val="auto"/>
        <w:outlineLvl w:val="9"/>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2.1</w:t>
      </w:r>
      <w:r>
        <w:rPr>
          <w:rFonts w:hint="eastAsia" w:ascii="宋体" w:hAnsi="宋体" w:eastAsia="宋体" w:cs="宋体"/>
          <w:b w:val="0"/>
          <w:color w:val="auto"/>
          <w:sz w:val="22"/>
          <w:szCs w:val="22"/>
          <w:highlight w:val="none"/>
          <w:lang w:val="en-US" w:eastAsia="zh-CN"/>
        </w:rPr>
        <w:t>6</w:t>
      </w:r>
      <w:r>
        <w:rPr>
          <w:rFonts w:hint="eastAsia" w:ascii="宋体" w:hAnsi="宋体" w:eastAsia="宋体" w:cs="宋体"/>
          <w:b w:val="0"/>
          <w:color w:val="auto"/>
          <w:sz w:val="22"/>
          <w:szCs w:val="22"/>
          <w:highlight w:val="none"/>
        </w:rPr>
        <w:t>.2 合同适用中华人民共和国法律。</w:t>
      </w:r>
    </w:p>
    <w:p w14:paraId="4F4FE4B4">
      <w:pPr>
        <w:keepNext w:val="0"/>
        <w:keepLines w:val="0"/>
        <w:pageBreakBefore w:val="0"/>
        <w:widowControl w:val="0"/>
        <w:numPr>
          <w:ilvl w:val="0"/>
          <w:numId w:val="0"/>
        </w:numPr>
        <w:kinsoku/>
        <w:wordWrap/>
        <w:overflowPunct/>
        <w:topLinePunct w:val="0"/>
        <w:bidi w:val="0"/>
        <w:adjustRightInd/>
        <w:snapToGrid/>
        <w:spacing w:beforeAutospacing="0" w:afterAutospacing="0" w:line="440" w:lineRule="exact"/>
        <w:ind w:left="0" w:leftChars="0" w:right="0" w:rightChars="0" w:firstLine="0" w:firstLineChars="0"/>
        <w:jc w:val="left"/>
        <w:textAlignment w:val="auto"/>
        <w:outlineLvl w:val="9"/>
        <w:rPr>
          <w:rFonts w:hint="eastAsia" w:ascii="宋体" w:hAnsi="宋体" w:eastAsia="宋体" w:cs="宋体"/>
          <w:b w:val="0"/>
          <w:color w:val="auto"/>
          <w:sz w:val="22"/>
          <w:szCs w:val="22"/>
          <w:highlight w:val="none"/>
        </w:rPr>
      </w:pPr>
      <w:bookmarkStart w:id="151" w:name="_Toc30599"/>
      <w:bookmarkStart w:id="152" w:name="_Toc18540"/>
      <w:bookmarkStart w:id="153" w:name="_Toc4355"/>
      <w:r>
        <w:rPr>
          <w:rFonts w:hint="eastAsia" w:ascii="宋体" w:hAnsi="宋体" w:eastAsia="宋体" w:cs="宋体"/>
          <w:b w:val="0"/>
          <w:color w:val="auto"/>
          <w:sz w:val="22"/>
          <w:szCs w:val="22"/>
          <w:highlight w:val="none"/>
        </w:rPr>
        <w:t>2.1</w:t>
      </w: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rPr>
        <w:t xml:space="preserve"> 计量单位</w:t>
      </w:r>
      <w:bookmarkEnd w:id="151"/>
      <w:bookmarkEnd w:id="152"/>
      <w:bookmarkEnd w:id="153"/>
    </w:p>
    <w:p w14:paraId="242B88E9">
      <w:pPr>
        <w:keepNext w:val="0"/>
        <w:keepLines w:val="0"/>
        <w:pageBreakBefore w:val="0"/>
        <w:widowControl w:val="0"/>
        <w:numPr>
          <w:ilvl w:val="0"/>
          <w:numId w:val="0"/>
        </w:numPr>
        <w:kinsoku/>
        <w:wordWrap/>
        <w:overflowPunct/>
        <w:topLinePunct w:val="0"/>
        <w:bidi w:val="0"/>
        <w:adjustRightInd/>
        <w:snapToGrid/>
        <w:spacing w:beforeAutospacing="0" w:afterAutospacing="0" w:line="44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除技术规范中另有规定外,合同的计量单位均使用国家法定计量单位。</w:t>
      </w:r>
    </w:p>
    <w:p w14:paraId="1BA6D141">
      <w:pPr>
        <w:pStyle w:val="222"/>
        <w:snapToGrid/>
        <w:spacing w:before="100" w:after="100" w:line="240" w:lineRule="auto"/>
        <w:ind w:left="0" w:leftChars="0" w:firstLine="0" w:firstLineChars="0"/>
        <w:jc w:val="center"/>
        <w:outlineLvl w:val="9"/>
        <w:rPr>
          <w:rFonts w:ascii="宋体" w:hAnsi="宋体" w:cs="宋体"/>
          <w:color w:val="auto"/>
          <w:sz w:val="22"/>
          <w:szCs w:val="22"/>
          <w:highlight w:val="none"/>
        </w:rPr>
      </w:pPr>
      <w:r>
        <w:rPr>
          <w:rFonts w:hint="eastAsia" w:ascii="宋体" w:hAnsi="宋体" w:cs="宋体"/>
          <w:color w:val="auto"/>
          <w:sz w:val="22"/>
          <w:szCs w:val="22"/>
          <w:highlight w:val="none"/>
        </w:rPr>
        <w:br w:type="page"/>
      </w:r>
      <w:r>
        <w:rPr>
          <w:rFonts w:hint="eastAsia" w:ascii="黑体" w:hAnsi="宋体" w:eastAsia="黑体" w:cs="宋体"/>
          <w:color w:val="auto"/>
          <w:sz w:val="44"/>
          <w:szCs w:val="40"/>
          <w:highlight w:val="none"/>
        </w:rPr>
        <w:t xml:space="preserve"> 三、  合同专用条款</w:t>
      </w:r>
    </w:p>
    <w:p w14:paraId="068E20B9">
      <w:pPr>
        <w:keepNext w:val="0"/>
        <w:keepLines w:val="0"/>
        <w:pageBreakBefore w:val="0"/>
        <w:numPr>
          <w:ilvl w:val="0"/>
          <w:numId w:val="0"/>
        </w:numPr>
        <w:kinsoku/>
        <w:wordWrap/>
        <w:overflowPunct/>
        <w:topLinePunct w:val="0"/>
        <w:bidi w:val="0"/>
        <w:snapToGrid/>
        <w:spacing w:before="0" w:beforeAutospacing="0" w:after="0" w:afterAutospacing="0" w:line="360" w:lineRule="exact"/>
        <w:ind w:left="0" w:leftChars="0" w:right="0" w:rightChars="0" w:firstLine="482" w:firstLineChars="0"/>
        <w:jc w:val="lef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9"/>
        <w:tblW w:w="92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38"/>
        <w:gridCol w:w="7733"/>
      </w:tblGrid>
      <w:tr w14:paraId="1DC5C9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17"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14:paraId="4A5560A1">
            <w:pPr>
              <w:keepNext w:val="0"/>
              <w:keepLines w:val="0"/>
              <w:pageBreakBefore w:val="0"/>
              <w:numPr>
                <w:ilvl w:val="0"/>
                <w:numId w:val="0"/>
              </w:numPr>
              <w:kinsoku/>
              <w:wordWrap/>
              <w:overflowPunct/>
              <w:topLinePunct w:val="0"/>
              <w:bidi w:val="0"/>
              <w:snapToGrid/>
              <w:spacing w:line="360" w:lineRule="exact"/>
              <w:ind w:right="0" w:rightChars="0"/>
              <w:textAlignment w:val="auto"/>
              <w:outlineLvl w:val="9"/>
              <w:rPr>
                <w:rFonts w:hint="eastAsia" w:ascii="宋体" w:hAnsi="宋体" w:eastAsia="宋体" w:cs="宋体"/>
                <w:bCs/>
                <w:i w:val="0"/>
                <w:iCs w:val="0"/>
                <w:color w:val="auto"/>
                <w:sz w:val="22"/>
                <w:szCs w:val="22"/>
                <w:highlight w:val="none"/>
                <w:u w:val="single"/>
              </w:rPr>
            </w:pPr>
            <w:bookmarkStart w:id="154" w:name="OLE_LINK9" w:colFirst="0" w:colLast="1"/>
            <w:r>
              <w:rPr>
                <w:rFonts w:hint="eastAsia" w:ascii="宋体" w:hAnsi="宋体" w:eastAsia="宋体" w:cs="宋体"/>
                <w:b/>
                <w:bCs/>
                <w:i w:val="0"/>
                <w:iCs w:val="0"/>
                <w:color w:val="auto"/>
                <w:sz w:val="22"/>
                <w:szCs w:val="22"/>
                <w:highlight w:val="none"/>
                <w:u w:val="single"/>
                <w:lang w:val="en-US" w:eastAsia="zh-CN"/>
              </w:rPr>
              <w:t>1.4.1</w:t>
            </w:r>
            <w:r>
              <w:rPr>
                <w:rFonts w:hint="eastAsia" w:ascii="宋体" w:hAnsi="宋体" w:eastAsia="宋体" w:cs="宋体"/>
                <w:b/>
                <w:bCs/>
                <w:i w:val="0"/>
                <w:iCs w:val="0"/>
                <w:color w:val="auto"/>
                <w:sz w:val="22"/>
                <w:szCs w:val="22"/>
                <w:highlight w:val="none"/>
                <w:u w:val="single"/>
              </w:rPr>
              <w:t>履约保证金</w:t>
            </w:r>
          </w:p>
        </w:tc>
        <w:tc>
          <w:tcPr>
            <w:tcW w:w="7733" w:type="dxa"/>
            <w:tcBorders>
              <w:top w:val="single" w:color="auto" w:sz="4" w:space="0"/>
              <w:left w:val="single" w:color="auto" w:sz="4" w:space="0"/>
              <w:bottom w:val="single" w:color="auto" w:sz="4" w:space="0"/>
              <w:right w:val="single" w:color="auto" w:sz="4" w:space="0"/>
            </w:tcBorders>
            <w:vAlign w:val="center"/>
          </w:tcPr>
          <w:p w14:paraId="4FF369DF">
            <w:pPr>
              <w:pStyle w:val="224"/>
              <w:keepNext w:val="0"/>
              <w:keepLines w:val="0"/>
              <w:pageBreakBefore w:val="0"/>
              <w:numPr>
                <w:ilvl w:val="0"/>
                <w:numId w:val="0"/>
              </w:numPr>
              <w:kinsoku/>
              <w:wordWrap/>
              <w:overflowPunct/>
              <w:topLinePunct w:val="0"/>
              <w:autoSpaceDE w:val="0"/>
              <w:autoSpaceDN w:val="0"/>
              <w:bidi w:val="0"/>
              <w:snapToGrid/>
              <w:spacing w:before="0" w:beforeAutospacing="0" w:after="0" w:afterAutospacing="0" w:line="360" w:lineRule="exact"/>
              <w:ind w:right="0" w:rightChars="0"/>
              <w:textAlignment w:val="auto"/>
              <w:outlineLvl w:val="9"/>
              <w:rPr>
                <w:rFonts w:hint="eastAsia" w:ascii="宋体" w:hAnsi="宋体" w:eastAsia="宋体" w:cs="宋体"/>
                <w:i w:val="0"/>
                <w:iCs w:val="0"/>
                <w:color w:val="auto"/>
                <w:sz w:val="22"/>
                <w:szCs w:val="22"/>
                <w:highlight w:val="none"/>
              </w:rPr>
            </w:pPr>
            <w:r>
              <w:rPr>
                <w:rFonts w:hint="default" w:cs="宋体"/>
                <w:i w:val="0"/>
                <w:iCs w:val="0"/>
                <w:color w:val="auto"/>
                <w:sz w:val="22"/>
                <w:szCs w:val="22"/>
                <w:highlight w:val="none"/>
                <w:woUserID w:val="1"/>
              </w:rPr>
              <w:t xml:space="preserve">    </w:t>
            </w:r>
            <w:r>
              <w:rPr>
                <w:rFonts w:hint="eastAsia" w:ascii="宋体" w:hAnsi="宋体" w:eastAsia="宋体" w:cs="宋体"/>
                <w:i w:val="0"/>
                <w:iCs w:val="0"/>
                <w:color w:val="auto"/>
                <w:sz w:val="22"/>
                <w:szCs w:val="22"/>
                <w:highlight w:val="none"/>
              </w:rPr>
              <w:t>乙方</w:t>
            </w:r>
            <w:r>
              <w:rPr>
                <w:rFonts w:hint="eastAsia" w:ascii="宋体" w:hAnsi="宋体" w:eastAsia="宋体" w:cs="宋体"/>
                <w:i w:val="0"/>
                <w:iCs w:val="0"/>
                <w:color w:val="auto"/>
                <w:sz w:val="22"/>
                <w:szCs w:val="22"/>
                <w:highlight w:val="none"/>
                <w:u w:val="single"/>
              </w:rPr>
              <w:t xml:space="preserve"> </w:t>
            </w:r>
            <w:r>
              <w:rPr>
                <w:rFonts w:hint="eastAsia" w:ascii="宋体" w:hAnsi="宋体" w:eastAsia="宋体" w:cs="宋体"/>
                <w:i w:val="0"/>
                <w:iCs w:val="0"/>
                <w:color w:val="auto"/>
                <w:sz w:val="22"/>
                <w:szCs w:val="22"/>
                <w:highlight w:val="none"/>
                <w:u w:val="single"/>
                <w:lang w:val="en-US" w:eastAsia="zh-CN"/>
              </w:rPr>
              <w:t>是</w:t>
            </w:r>
            <w:r>
              <w:rPr>
                <w:rFonts w:hint="eastAsia" w:ascii="宋体" w:hAnsi="宋体" w:eastAsia="宋体" w:cs="宋体"/>
                <w:i w:val="0"/>
                <w:iCs w:val="0"/>
                <w:color w:val="auto"/>
                <w:sz w:val="22"/>
                <w:szCs w:val="22"/>
                <w:highlight w:val="none"/>
                <w:u w:val="single"/>
              </w:rPr>
              <w:t xml:space="preserve"> </w:t>
            </w:r>
            <w:r>
              <w:rPr>
                <w:rFonts w:hint="eastAsia" w:ascii="宋体" w:hAnsi="宋体" w:eastAsia="宋体" w:cs="宋体"/>
                <w:i w:val="0"/>
                <w:iCs w:val="0"/>
                <w:color w:val="auto"/>
                <w:sz w:val="22"/>
                <w:szCs w:val="22"/>
                <w:highlight w:val="none"/>
              </w:rPr>
              <w:t>（是/否）需要支付履约保证金。若需要支付履约保证金的，则：</w:t>
            </w:r>
          </w:p>
          <w:p w14:paraId="68274AD8">
            <w:pPr>
              <w:pStyle w:val="21"/>
              <w:keepNext w:val="0"/>
              <w:keepLines w:val="0"/>
              <w:pageBreakBefore w:val="0"/>
              <w:numPr>
                <w:ilvl w:val="0"/>
                <w:numId w:val="0"/>
              </w:numPr>
              <w:kinsoku/>
              <w:wordWrap/>
              <w:overflowPunct/>
              <w:topLinePunct w:val="0"/>
              <w:autoSpaceDE w:val="0"/>
              <w:autoSpaceDN w:val="0"/>
              <w:bidi w:val="0"/>
              <w:snapToGrid/>
              <w:spacing w:line="360" w:lineRule="exact"/>
              <w:ind w:leftChars="0" w:right="0" w:rightChars="0" w:firstLine="440" w:firstLineChars="200"/>
              <w:textAlignment w:val="auto"/>
              <w:outlineLvl w:val="9"/>
              <w:rPr>
                <w:rFonts w:hint="eastAsia" w:ascii="宋体" w:hAnsi="宋体" w:eastAsia="宋体" w:cs="宋体"/>
                <w:bCs/>
                <w:i w:val="0"/>
                <w:iCs w:val="0"/>
                <w:color w:val="auto"/>
                <w:sz w:val="22"/>
                <w:szCs w:val="22"/>
                <w:highlight w:val="none"/>
                <w:u w:val="single"/>
              </w:rPr>
            </w:pPr>
            <w:r>
              <w:rPr>
                <w:rFonts w:hint="eastAsia" w:ascii="宋体" w:hAnsi="宋体" w:eastAsia="宋体" w:cs="宋体"/>
                <w:i w:val="0"/>
                <w:iCs w:val="0"/>
                <w:color w:val="auto"/>
                <w:sz w:val="22"/>
                <w:szCs w:val="22"/>
                <w:highlight w:val="none"/>
              </w:rPr>
              <w:t>乙方在</w:t>
            </w:r>
            <w:r>
              <w:rPr>
                <w:rFonts w:hint="eastAsia" w:ascii="宋体" w:hAnsi="宋体" w:eastAsia="宋体" w:cs="宋体"/>
                <w:i w:val="0"/>
                <w:iCs w:val="0"/>
                <w:color w:val="auto"/>
                <w:sz w:val="22"/>
                <w:szCs w:val="22"/>
                <w:highlight w:val="none"/>
                <w:lang w:val="en-US" w:eastAsia="zh-CN"/>
              </w:rPr>
              <w:t>合同生效以及具备实施条件后</w:t>
            </w:r>
            <w:r>
              <w:rPr>
                <w:rFonts w:hint="eastAsia" w:cs="宋体"/>
                <w:i w:val="0"/>
                <w:iCs w:val="0"/>
                <w:color w:val="auto"/>
                <w:sz w:val="22"/>
                <w:szCs w:val="22"/>
                <w:highlight w:val="none"/>
                <w:u w:val="single"/>
                <w:lang w:val="en-US" w:eastAsia="zh-CN"/>
              </w:rPr>
              <w:t xml:space="preserve"> </w:t>
            </w:r>
            <w:r>
              <w:rPr>
                <w:rFonts w:hint="eastAsia" w:ascii="宋体" w:hAnsi="宋体" w:eastAsia="宋体" w:cs="宋体"/>
                <w:b w:val="0"/>
                <w:bCs w:val="0"/>
                <w:i w:val="0"/>
                <w:iCs w:val="0"/>
                <w:color w:val="auto"/>
                <w:sz w:val="22"/>
                <w:szCs w:val="22"/>
                <w:highlight w:val="none"/>
                <w:u w:val="single"/>
                <w:lang w:val="en-US" w:eastAsia="zh-CN"/>
              </w:rPr>
              <w:t xml:space="preserve">7 </w:t>
            </w:r>
            <w:r>
              <w:rPr>
                <w:rFonts w:hint="eastAsia" w:ascii="宋体" w:hAnsi="宋体" w:eastAsia="宋体" w:cs="宋体"/>
                <w:i w:val="0"/>
                <w:iCs w:val="0"/>
                <w:color w:val="auto"/>
                <w:sz w:val="22"/>
                <w:szCs w:val="22"/>
                <w:highlight w:val="none"/>
                <w:lang w:val="en-US" w:eastAsia="zh-CN"/>
              </w:rPr>
              <w:t>个工作日内</w:t>
            </w:r>
            <w:r>
              <w:rPr>
                <w:rFonts w:hint="eastAsia" w:ascii="宋体" w:hAnsi="宋体" w:eastAsia="宋体" w:cs="宋体"/>
                <w:i w:val="0"/>
                <w:iCs w:val="0"/>
                <w:color w:val="auto"/>
                <w:sz w:val="22"/>
                <w:szCs w:val="22"/>
                <w:highlight w:val="none"/>
              </w:rPr>
              <w:t>，支付给甲方合同金额</w:t>
            </w:r>
            <w:r>
              <w:rPr>
                <w:rFonts w:hint="eastAsia" w:ascii="宋体" w:hAnsi="宋体" w:eastAsia="宋体" w:cs="宋体"/>
                <w:i w:val="0"/>
                <w:iCs w:val="0"/>
                <w:color w:val="auto"/>
                <w:sz w:val="22"/>
                <w:szCs w:val="22"/>
                <w:highlight w:val="none"/>
                <w:u w:val="single"/>
              </w:rPr>
              <w:t xml:space="preserve"> </w:t>
            </w:r>
            <w:r>
              <w:rPr>
                <w:rFonts w:hint="eastAsia" w:ascii="宋体" w:hAnsi="宋体" w:eastAsia="宋体" w:cs="宋体"/>
                <w:i w:val="0"/>
                <w:iCs w:val="0"/>
                <w:color w:val="auto"/>
                <w:sz w:val="22"/>
                <w:szCs w:val="22"/>
                <w:highlight w:val="none"/>
                <w:u w:val="single"/>
                <w:lang w:val="en-US" w:eastAsia="zh-CN"/>
              </w:rPr>
              <w:t xml:space="preserve"> </w:t>
            </w:r>
            <w:r>
              <w:rPr>
                <w:rFonts w:hint="eastAsia" w:ascii="宋体" w:hAnsi="宋体" w:eastAsia="宋体" w:cs="宋体"/>
                <w:b/>
                <w:bCs/>
                <w:i w:val="0"/>
                <w:iCs w:val="0"/>
                <w:color w:val="auto"/>
                <w:sz w:val="22"/>
                <w:szCs w:val="22"/>
                <w:highlight w:val="none"/>
                <w:u w:val="single"/>
                <w:lang w:val="en-US" w:eastAsia="zh-CN"/>
              </w:rPr>
              <w:t xml:space="preserve"> </w:t>
            </w:r>
            <w:r>
              <w:rPr>
                <w:rFonts w:hint="eastAsia" w:ascii="宋体" w:hAnsi="宋体" w:eastAsia="宋体" w:cs="宋体"/>
                <w:b w:val="0"/>
                <w:bCs w:val="0"/>
                <w:i w:val="0"/>
                <w:iCs w:val="0"/>
                <w:color w:val="auto"/>
                <w:sz w:val="22"/>
                <w:szCs w:val="22"/>
                <w:highlight w:val="none"/>
                <w:u w:val="single"/>
                <w:lang w:val="en-US" w:eastAsia="zh-CN"/>
              </w:rPr>
              <w:t>1</w:t>
            </w:r>
            <w:r>
              <w:rPr>
                <w:rFonts w:hint="eastAsia" w:ascii="宋体" w:hAnsi="宋体" w:eastAsia="宋体" w:cs="宋体"/>
                <w:b w:val="0"/>
                <w:bCs w:val="0"/>
                <w:i w:val="0"/>
                <w:iCs w:val="0"/>
                <w:color w:val="auto"/>
                <w:sz w:val="22"/>
                <w:szCs w:val="22"/>
                <w:highlight w:val="none"/>
              </w:rPr>
              <w:t>%作为履约</w:t>
            </w:r>
            <w:r>
              <w:rPr>
                <w:rFonts w:hint="eastAsia" w:ascii="宋体" w:hAnsi="宋体" w:eastAsia="宋体" w:cs="宋体"/>
                <w:i w:val="0"/>
                <w:iCs w:val="0"/>
                <w:color w:val="auto"/>
                <w:sz w:val="22"/>
                <w:szCs w:val="22"/>
                <w:highlight w:val="none"/>
              </w:rPr>
              <w:t>保证金（接受支票、汇票、本票、履约保函等多种非现金形式）。在合同履行期内乙方违约的，在履约保证金内先扣除乙方应承担的违约金。乙方没有违约或扣除违约金后有剩余的，履约保证金在乙方履约验收合格后</w:t>
            </w:r>
            <w:r>
              <w:rPr>
                <w:rFonts w:hint="eastAsia" w:ascii="宋体" w:hAnsi="宋体" w:eastAsia="宋体" w:cs="宋体"/>
                <w:i w:val="0"/>
                <w:iCs w:val="0"/>
                <w:color w:val="auto"/>
                <w:sz w:val="22"/>
                <w:szCs w:val="22"/>
                <w:highlight w:val="none"/>
                <w:lang w:val="en-US" w:eastAsia="zh-CN"/>
              </w:rPr>
              <w:t>在达到退付条件后5个工作日内</w:t>
            </w:r>
            <w:r>
              <w:rPr>
                <w:rFonts w:hint="eastAsia" w:ascii="宋体" w:hAnsi="宋体" w:eastAsia="宋体" w:cs="宋体"/>
                <w:i w:val="0"/>
                <w:iCs w:val="0"/>
                <w:color w:val="auto"/>
                <w:sz w:val="22"/>
                <w:szCs w:val="22"/>
                <w:highlight w:val="none"/>
              </w:rPr>
              <w:t>无息返还。</w:t>
            </w:r>
          </w:p>
        </w:tc>
      </w:tr>
      <w:tr w14:paraId="256858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14:paraId="6B2743D3">
            <w:pPr>
              <w:keepNext w:val="0"/>
              <w:keepLines w:val="0"/>
              <w:pageBreakBefore w:val="0"/>
              <w:numPr>
                <w:ilvl w:val="0"/>
                <w:numId w:val="0"/>
              </w:numPr>
              <w:kinsoku/>
              <w:wordWrap/>
              <w:overflowPunct/>
              <w:topLinePunct w:val="0"/>
              <w:bidi w:val="0"/>
              <w:snapToGrid/>
              <w:spacing w:line="360" w:lineRule="exact"/>
              <w:ind w:right="0" w:rightChars="0"/>
              <w:textAlignment w:val="auto"/>
              <w:outlineLvl w:val="9"/>
              <w:rPr>
                <w:rFonts w:hint="eastAsia" w:ascii="宋体" w:hAnsi="宋体" w:eastAsia="宋体" w:cs="宋体"/>
                <w:b/>
                <w:bCs/>
                <w:i w:val="0"/>
                <w:iCs w:val="0"/>
                <w:color w:val="auto"/>
                <w:sz w:val="22"/>
                <w:szCs w:val="22"/>
                <w:highlight w:val="none"/>
                <w:u w:val="single"/>
                <w:lang w:val="en-US" w:eastAsia="zh-CN"/>
              </w:rPr>
            </w:pPr>
            <w:bookmarkStart w:id="155" w:name="OLE_LINK10" w:colFirst="0" w:colLast="1"/>
            <w:r>
              <w:rPr>
                <w:rFonts w:hint="eastAsia" w:ascii="宋体" w:hAnsi="宋体" w:eastAsia="宋体" w:cs="宋体"/>
                <w:b/>
                <w:i w:val="0"/>
                <w:iCs w:val="0"/>
                <w:color w:val="auto"/>
                <w:sz w:val="22"/>
                <w:szCs w:val="22"/>
                <w:highlight w:val="none"/>
              </w:rPr>
              <w:t>1.5</w:t>
            </w:r>
            <w:r>
              <w:rPr>
                <w:rFonts w:hint="eastAsia" w:ascii="宋体" w:hAnsi="宋体" w:eastAsia="宋体" w:cs="宋体"/>
                <w:b/>
                <w:bCs/>
                <w:i w:val="0"/>
                <w:iCs w:val="0"/>
                <w:color w:val="auto"/>
                <w:sz w:val="22"/>
                <w:szCs w:val="22"/>
                <w:highlight w:val="none"/>
                <w:u w:val="single"/>
                <w:lang w:val="en-US" w:eastAsia="zh-CN"/>
              </w:rPr>
              <w:t>预付款</w:t>
            </w:r>
          </w:p>
        </w:tc>
        <w:tc>
          <w:tcPr>
            <w:tcW w:w="7733" w:type="dxa"/>
            <w:tcBorders>
              <w:top w:val="single" w:color="auto" w:sz="4" w:space="0"/>
              <w:left w:val="single" w:color="auto" w:sz="4" w:space="0"/>
              <w:bottom w:val="single" w:color="auto" w:sz="4" w:space="0"/>
              <w:right w:val="single" w:color="auto" w:sz="4" w:space="0"/>
            </w:tcBorders>
            <w:vAlign w:val="center"/>
          </w:tcPr>
          <w:p w14:paraId="2D8A469A">
            <w:pPr>
              <w:keepNext w:val="0"/>
              <w:keepLines w:val="0"/>
              <w:pageBreakBefore w:val="0"/>
              <w:numPr>
                <w:ilvl w:val="0"/>
                <w:numId w:val="0"/>
              </w:numPr>
              <w:kinsoku/>
              <w:wordWrap/>
              <w:overflowPunct/>
              <w:topLinePunct w:val="0"/>
              <w:bidi w:val="0"/>
              <w:snapToGrid/>
              <w:spacing w:line="360" w:lineRule="exact"/>
              <w:ind w:right="0" w:rightChars="0"/>
              <w:textAlignment w:val="auto"/>
              <w:outlineLvl w:val="9"/>
              <w:rPr>
                <w:rFonts w:hint="eastAsia" w:ascii="宋体" w:hAnsi="宋体" w:eastAsia="宋体" w:cs="宋体"/>
                <w:b/>
                <w:bCs/>
                <w:i w:val="0"/>
                <w:iCs w:val="0"/>
                <w:color w:val="auto"/>
                <w:sz w:val="22"/>
                <w:szCs w:val="22"/>
                <w:highlight w:val="none"/>
                <w:u w:val="single"/>
              </w:rPr>
            </w:pPr>
            <w:r>
              <w:rPr>
                <w:rFonts w:hint="eastAsia" w:ascii="宋体" w:hAnsi="宋体" w:eastAsia="宋体" w:cs="宋体"/>
                <w:i w:val="0"/>
                <w:iCs w:val="0"/>
                <w:color w:val="auto"/>
                <w:sz w:val="22"/>
                <w:szCs w:val="22"/>
                <w:highlight w:val="none"/>
                <w:u w:val="single"/>
                <w:lang w:val="en-US" w:eastAsia="zh-CN" w:bidi="zh-CN"/>
              </w:rPr>
              <w:t xml:space="preserve"> 是 </w:t>
            </w:r>
            <w:r>
              <w:rPr>
                <w:rFonts w:hint="eastAsia" w:ascii="宋体" w:hAnsi="宋体" w:eastAsia="宋体" w:cs="宋体"/>
                <w:i w:val="0"/>
                <w:iCs w:val="0"/>
                <w:color w:val="auto"/>
                <w:sz w:val="22"/>
                <w:szCs w:val="22"/>
                <w:highlight w:val="none"/>
                <w:lang w:val="en-US" w:eastAsia="zh-CN" w:bidi="zh-CN"/>
              </w:rPr>
              <w:t>（是/否）有预付款，合同生效以及具备实施条件并待财政资金到位后7个工作日内</w:t>
            </w:r>
            <w:r>
              <w:rPr>
                <w:rFonts w:hint="eastAsia" w:ascii="宋体" w:hAnsi="宋体" w:eastAsia="宋体" w:cs="宋体"/>
                <w:i w:val="0"/>
                <w:iCs w:val="0"/>
                <w:color w:val="auto"/>
                <w:sz w:val="22"/>
                <w:szCs w:val="22"/>
                <w:highlight w:val="none"/>
                <w:lang w:val="zh-CN" w:eastAsia="zh-CN" w:bidi="zh-CN"/>
              </w:rPr>
              <w:t>甲方向乙方支付合同总价的</w:t>
            </w:r>
            <w:r>
              <w:rPr>
                <w:rFonts w:hint="eastAsia" w:ascii="宋体" w:hAnsi="宋体" w:cs="宋体"/>
                <w:i w:val="0"/>
                <w:iCs w:val="0"/>
                <w:color w:val="auto"/>
                <w:sz w:val="22"/>
                <w:szCs w:val="22"/>
                <w:highlight w:val="none"/>
                <w:u w:val="single"/>
                <w:lang w:val="en-US" w:eastAsia="zh-CN" w:bidi="zh-CN"/>
              </w:rPr>
              <w:t>40</w:t>
            </w:r>
            <w:r>
              <w:rPr>
                <w:rFonts w:hint="eastAsia" w:ascii="宋体" w:hAnsi="宋体" w:eastAsia="宋体" w:cs="宋体"/>
                <w:i w:val="0"/>
                <w:iCs w:val="0"/>
                <w:color w:val="auto"/>
                <w:sz w:val="22"/>
                <w:szCs w:val="22"/>
                <w:highlight w:val="none"/>
                <w:u w:val="single"/>
                <w:lang w:val="en-US" w:eastAsia="zh-CN" w:bidi="zh-CN"/>
              </w:rPr>
              <w:t xml:space="preserve"> </w:t>
            </w:r>
            <w:r>
              <w:rPr>
                <w:rFonts w:hint="eastAsia" w:ascii="宋体" w:hAnsi="宋体" w:eastAsia="宋体" w:cs="宋体"/>
                <w:i w:val="0"/>
                <w:iCs w:val="0"/>
                <w:color w:val="auto"/>
                <w:sz w:val="22"/>
                <w:szCs w:val="22"/>
                <w:highlight w:val="none"/>
                <w:lang w:val="zh-CN" w:eastAsia="zh-CN" w:bidi="zh-CN"/>
              </w:rPr>
              <w:t>%，</w:t>
            </w:r>
            <w:r>
              <w:rPr>
                <w:rFonts w:hint="eastAsia" w:ascii="宋体" w:hAnsi="宋体" w:eastAsia="宋体" w:cs="宋体"/>
                <w:i w:val="0"/>
                <w:iCs w:val="0"/>
                <w:color w:val="auto"/>
                <w:sz w:val="22"/>
                <w:szCs w:val="22"/>
                <w:highlight w:val="none"/>
                <w:lang w:val="en-US" w:eastAsia="zh-CN" w:bidi="zh-CN"/>
              </w:rPr>
              <w:t>计</w:t>
            </w:r>
            <w:r>
              <w:rPr>
                <w:rFonts w:hint="eastAsia" w:ascii="宋体" w:hAnsi="宋体" w:eastAsia="宋体" w:cs="宋体"/>
                <w:i w:val="0"/>
                <w:iCs w:val="0"/>
                <w:color w:val="auto"/>
                <w:sz w:val="22"/>
                <w:szCs w:val="22"/>
                <w:highlight w:val="none"/>
                <w:u w:val="single"/>
                <w:lang w:val="en-US" w:eastAsia="zh-CN" w:bidi="zh-CN"/>
              </w:rPr>
              <w:t xml:space="preserve"> </w:t>
            </w:r>
            <w:r>
              <w:rPr>
                <w:rFonts w:hint="eastAsia" w:ascii="宋体" w:hAnsi="宋体" w:cs="宋体"/>
                <w:i w:val="0"/>
                <w:iCs w:val="0"/>
                <w:color w:val="auto"/>
                <w:sz w:val="22"/>
                <w:szCs w:val="22"/>
                <w:highlight w:val="none"/>
                <w:u w:val="single"/>
                <w:lang w:val="en-US" w:eastAsia="zh-CN" w:bidi="zh-CN"/>
              </w:rPr>
              <w:t xml:space="preserve">       </w:t>
            </w:r>
            <w:r>
              <w:rPr>
                <w:rFonts w:hint="eastAsia" w:ascii="宋体" w:hAnsi="宋体" w:eastAsia="宋体" w:cs="宋体"/>
                <w:i w:val="0"/>
                <w:iCs w:val="0"/>
                <w:color w:val="auto"/>
                <w:sz w:val="22"/>
                <w:szCs w:val="22"/>
                <w:highlight w:val="none"/>
                <w:u w:val="none"/>
                <w:lang w:val="en-US" w:eastAsia="zh-CN" w:bidi="zh-CN"/>
              </w:rPr>
              <w:t>元</w:t>
            </w:r>
            <w:r>
              <w:rPr>
                <w:rFonts w:hint="eastAsia" w:ascii="宋体" w:hAnsi="宋体" w:eastAsia="宋体" w:cs="宋体"/>
                <w:i w:val="0"/>
                <w:iCs w:val="0"/>
                <w:color w:val="auto"/>
                <w:sz w:val="22"/>
                <w:szCs w:val="22"/>
                <w:highlight w:val="none"/>
                <w:lang w:val="zh-CN" w:eastAsia="zh-CN" w:bidi="zh-CN"/>
              </w:rPr>
              <w:t>。</w:t>
            </w:r>
          </w:p>
        </w:tc>
      </w:tr>
      <w:tr w14:paraId="5795CB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14:paraId="6E245FA5">
            <w:pPr>
              <w:keepNext w:val="0"/>
              <w:keepLines w:val="0"/>
              <w:pageBreakBefore w:val="0"/>
              <w:numPr>
                <w:ilvl w:val="0"/>
                <w:numId w:val="0"/>
              </w:numPr>
              <w:kinsoku/>
              <w:wordWrap/>
              <w:overflowPunct/>
              <w:topLinePunct w:val="0"/>
              <w:bidi w:val="0"/>
              <w:snapToGrid/>
              <w:spacing w:line="360" w:lineRule="exact"/>
              <w:ind w:right="0" w:rightChars="0"/>
              <w:textAlignment w:val="auto"/>
              <w:outlineLvl w:val="9"/>
              <w:rPr>
                <w:rFonts w:hint="eastAsia" w:ascii="宋体" w:hAnsi="宋体" w:eastAsia="宋体" w:cs="宋体"/>
                <w:b/>
                <w:bCs/>
                <w:i w:val="0"/>
                <w:iCs w:val="0"/>
                <w:color w:val="auto"/>
                <w:sz w:val="22"/>
                <w:szCs w:val="22"/>
                <w:highlight w:val="none"/>
                <w:u w:val="single"/>
              </w:rPr>
            </w:pPr>
            <w:r>
              <w:rPr>
                <w:rFonts w:hint="eastAsia" w:ascii="宋体" w:hAnsi="宋体" w:eastAsia="宋体" w:cs="宋体"/>
                <w:b/>
                <w:bCs/>
                <w:i w:val="0"/>
                <w:iCs w:val="0"/>
                <w:color w:val="auto"/>
                <w:sz w:val="22"/>
                <w:szCs w:val="22"/>
                <w:highlight w:val="none"/>
                <w:u w:val="single"/>
                <w:lang w:val="en-US" w:eastAsia="zh-CN"/>
              </w:rPr>
              <w:t>1.6资金支付</w:t>
            </w:r>
          </w:p>
        </w:tc>
        <w:tc>
          <w:tcPr>
            <w:tcW w:w="7733" w:type="dxa"/>
            <w:tcBorders>
              <w:top w:val="single" w:color="auto" w:sz="4" w:space="0"/>
              <w:left w:val="single" w:color="auto" w:sz="4" w:space="0"/>
              <w:bottom w:val="single" w:color="auto" w:sz="4" w:space="0"/>
              <w:right w:val="single" w:color="auto" w:sz="4" w:space="0"/>
            </w:tcBorders>
            <w:vAlign w:val="center"/>
          </w:tcPr>
          <w:p w14:paraId="64FE63FB">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leftChars="0" w:right="0" w:rightChars="0"/>
              <w:textAlignment w:val="auto"/>
              <w:outlineLvl w:val="9"/>
              <w:rPr>
                <w:rFonts w:hint="eastAsia" w:ascii="宋体" w:hAnsi="宋体" w:eastAsia="宋体" w:cs="宋体"/>
                <w:b/>
                <w:bCs/>
                <w:i w:val="0"/>
                <w:iCs w:val="0"/>
                <w:color w:val="auto"/>
                <w:sz w:val="22"/>
                <w:szCs w:val="22"/>
                <w:highlight w:val="none"/>
                <w:lang w:val="en-US" w:eastAsia="zh-CN" w:bidi="zh-CN"/>
              </w:rPr>
            </w:pPr>
            <w:r>
              <w:rPr>
                <w:rFonts w:hint="eastAsia" w:ascii="宋体" w:hAnsi="宋体" w:eastAsia="宋体" w:cs="宋体"/>
                <w:b/>
                <w:bCs/>
                <w:i w:val="0"/>
                <w:iCs w:val="0"/>
                <w:color w:val="auto"/>
                <w:sz w:val="22"/>
                <w:szCs w:val="22"/>
                <w:highlight w:val="none"/>
                <w:lang w:val="en-US" w:eastAsia="zh-CN" w:bidi="zh-CN"/>
              </w:rPr>
              <w:t>可以选择以下</w:t>
            </w:r>
            <w:r>
              <w:rPr>
                <w:rFonts w:hint="eastAsia" w:ascii="宋体" w:hAnsi="宋体" w:eastAsia="宋体" w:cs="宋体"/>
                <w:b/>
                <w:bCs/>
                <w:i w:val="0"/>
                <w:iCs w:val="0"/>
                <w:color w:val="auto"/>
                <w:sz w:val="22"/>
                <w:szCs w:val="22"/>
                <w:highlight w:val="none"/>
                <w:u w:val="single"/>
                <w:lang w:val="en-US" w:eastAsia="zh-CN" w:bidi="zh-CN"/>
              </w:rPr>
              <w:t xml:space="preserve"> B </w:t>
            </w:r>
            <w:r>
              <w:rPr>
                <w:rFonts w:hint="eastAsia" w:ascii="宋体" w:hAnsi="宋体" w:eastAsia="宋体" w:cs="宋体"/>
                <w:b/>
                <w:bCs/>
                <w:i w:val="0"/>
                <w:iCs w:val="0"/>
                <w:color w:val="auto"/>
                <w:sz w:val="22"/>
                <w:szCs w:val="22"/>
                <w:highlight w:val="none"/>
                <w:u w:val="none"/>
                <w:lang w:val="en-US" w:eastAsia="zh-CN" w:bidi="zh-CN"/>
              </w:rPr>
              <w:t>支付方式。</w:t>
            </w:r>
            <w:r>
              <w:rPr>
                <w:rFonts w:hint="eastAsia" w:ascii="宋体" w:hAnsi="宋体" w:eastAsia="宋体" w:cs="宋体"/>
                <w:b/>
                <w:bCs/>
                <w:i w:val="0"/>
                <w:iCs w:val="0"/>
                <w:color w:val="auto"/>
                <w:sz w:val="22"/>
                <w:szCs w:val="22"/>
                <w:highlight w:val="none"/>
                <w:lang w:val="en-US" w:eastAsia="zh-CN" w:bidi="zh-CN"/>
              </w:rPr>
              <w:t xml:space="preserve"> </w:t>
            </w:r>
          </w:p>
          <w:p w14:paraId="4E305DC1">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leftChars="0" w:right="0" w:rightChars="0"/>
              <w:textAlignment w:val="auto"/>
              <w:outlineLvl w:val="9"/>
              <w:rPr>
                <w:rFonts w:hint="eastAsia" w:ascii="宋体" w:hAnsi="宋体" w:eastAsia="宋体" w:cs="宋体"/>
                <w:i w:val="0"/>
                <w:iCs w:val="0"/>
                <w:color w:val="auto"/>
                <w:sz w:val="22"/>
                <w:szCs w:val="22"/>
                <w:highlight w:val="none"/>
                <w:lang w:val="en-US" w:eastAsia="zh-CN" w:bidi="zh-CN"/>
              </w:rPr>
            </w:pPr>
            <w:r>
              <w:rPr>
                <w:rFonts w:hint="eastAsia" w:ascii="宋体" w:hAnsi="宋体" w:eastAsia="宋体" w:cs="宋体"/>
                <w:b/>
                <w:bCs/>
                <w:i w:val="0"/>
                <w:iCs w:val="0"/>
                <w:color w:val="auto"/>
                <w:sz w:val="22"/>
                <w:szCs w:val="22"/>
                <w:highlight w:val="none"/>
                <w:lang w:val="en-US" w:eastAsia="zh-CN" w:bidi="zh-CN"/>
              </w:rPr>
              <w:sym w:font="Wingdings" w:char="00A8"/>
            </w:r>
            <w:r>
              <w:rPr>
                <w:rFonts w:hint="eastAsia" w:ascii="宋体" w:hAnsi="宋体" w:eastAsia="宋体" w:cs="宋体"/>
                <w:b/>
                <w:bCs/>
                <w:i w:val="0"/>
                <w:iCs w:val="0"/>
                <w:color w:val="auto"/>
                <w:sz w:val="22"/>
                <w:szCs w:val="22"/>
                <w:highlight w:val="none"/>
                <w:lang w:val="en-US" w:eastAsia="zh-CN" w:bidi="zh-CN"/>
              </w:rPr>
              <w:t>A:一次性支付</w:t>
            </w:r>
            <w:r>
              <w:rPr>
                <w:rFonts w:hint="eastAsia" w:ascii="宋体" w:hAnsi="宋体" w:eastAsia="宋体" w:cs="宋体"/>
                <w:i w:val="0"/>
                <w:iCs w:val="0"/>
                <w:color w:val="auto"/>
                <w:sz w:val="22"/>
                <w:szCs w:val="22"/>
                <w:highlight w:val="none"/>
                <w:lang w:val="en-US" w:eastAsia="zh-CN" w:bidi="zh-CN"/>
              </w:rPr>
              <w:t>。</w:t>
            </w:r>
          </w:p>
          <w:p w14:paraId="720861F3">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leftChars="0" w:right="0" w:rightChars="0"/>
              <w:textAlignment w:val="auto"/>
              <w:outlineLvl w:val="9"/>
              <w:rPr>
                <w:rFonts w:hint="eastAsia" w:ascii="宋体" w:hAnsi="宋体" w:eastAsia="宋体" w:cs="宋体"/>
                <w:i w:val="0"/>
                <w:iCs w:val="0"/>
                <w:color w:val="auto"/>
                <w:sz w:val="22"/>
                <w:szCs w:val="22"/>
                <w:highlight w:val="none"/>
                <w:lang w:val="en-US" w:eastAsia="zh-CN" w:bidi="zh-CN"/>
              </w:rPr>
            </w:pPr>
            <w:r>
              <w:rPr>
                <w:rFonts w:hint="eastAsia" w:ascii="宋体" w:hAnsi="宋体" w:eastAsia="宋体" w:cs="宋体"/>
                <w:i w:val="0"/>
                <w:iCs w:val="0"/>
                <w:color w:val="auto"/>
                <w:sz w:val="22"/>
                <w:szCs w:val="22"/>
                <w:highlight w:val="none"/>
                <w:lang w:val="en-US" w:eastAsia="zh-CN" w:bidi="zh-CN"/>
              </w:rPr>
              <w:t>到货验收后，根据实际执行数量进行结算，在到货验收合格且收到乙方开具的全额正式发票后15个工作日内一次性支付给乙方。</w:t>
            </w:r>
          </w:p>
          <w:p w14:paraId="23074133">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leftChars="0" w:right="0" w:rightChars="0"/>
              <w:textAlignment w:val="auto"/>
              <w:outlineLvl w:val="9"/>
              <w:rPr>
                <w:rFonts w:hint="eastAsia" w:ascii="宋体" w:hAnsi="宋体" w:eastAsia="宋体" w:cs="宋体"/>
                <w:b/>
                <w:bCs/>
                <w:i w:val="0"/>
                <w:iCs w:val="0"/>
                <w:color w:val="auto"/>
                <w:sz w:val="22"/>
                <w:szCs w:val="22"/>
                <w:highlight w:val="none"/>
                <w:lang w:val="en-US" w:eastAsia="zh-CN" w:bidi="zh-CN"/>
              </w:rPr>
            </w:pPr>
            <w:r>
              <w:rPr>
                <w:rFonts w:hint="eastAsia" w:ascii="宋体" w:hAnsi="宋体" w:eastAsia="宋体" w:cs="宋体"/>
                <w:b/>
                <w:bCs/>
                <w:i w:val="0"/>
                <w:iCs w:val="0"/>
                <w:color w:val="auto"/>
                <w:sz w:val="22"/>
                <w:szCs w:val="22"/>
                <w:highlight w:val="none"/>
                <w:lang w:val="en-US" w:eastAsia="zh-CN" w:bidi="zh-CN"/>
              </w:rPr>
              <w:sym w:font="Wingdings" w:char="00FE"/>
            </w:r>
            <w:r>
              <w:rPr>
                <w:rFonts w:hint="eastAsia" w:ascii="宋体" w:hAnsi="宋体" w:eastAsia="宋体" w:cs="宋体"/>
                <w:b/>
                <w:bCs/>
                <w:i w:val="0"/>
                <w:iCs w:val="0"/>
                <w:color w:val="auto"/>
                <w:sz w:val="22"/>
                <w:szCs w:val="22"/>
                <w:highlight w:val="none"/>
                <w:lang w:val="en-US" w:eastAsia="zh-CN" w:bidi="zh-CN"/>
              </w:rPr>
              <w:t>B:多次性支付。</w:t>
            </w:r>
          </w:p>
          <w:p w14:paraId="3A3F4060">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leftChars="0" w:right="0" w:rightChars="0"/>
              <w:textAlignment w:val="auto"/>
              <w:outlineLvl w:val="9"/>
              <w:rPr>
                <w:rFonts w:hint="eastAsia" w:ascii="宋体" w:hAnsi="宋体" w:eastAsia="宋体" w:cs="宋体"/>
                <w:i w:val="0"/>
                <w:iCs w:val="0"/>
                <w:color w:val="auto"/>
                <w:sz w:val="22"/>
                <w:szCs w:val="22"/>
                <w:highlight w:val="none"/>
                <w:lang w:val="zh-CN" w:eastAsia="zh-CN" w:bidi="zh-CN"/>
              </w:rPr>
            </w:pPr>
            <w:r>
              <w:rPr>
                <w:rFonts w:hint="eastAsia" w:ascii="宋体" w:hAnsi="宋体" w:eastAsia="宋体" w:cs="宋体"/>
                <w:b/>
                <w:bCs/>
                <w:i w:val="0"/>
                <w:iCs w:val="0"/>
                <w:color w:val="auto"/>
                <w:sz w:val="22"/>
                <w:szCs w:val="22"/>
                <w:highlight w:val="none"/>
                <w:lang w:val="en-US" w:eastAsia="zh-CN" w:bidi="zh-CN"/>
              </w:rPr>
              <w:t>预付款：</w:t>
            </w:r>
            <w:r>
              <w:rPr>
                <w:rFonts w:hint="eastAsia" w:ascii="宋体" w:hAnsi="宋体" w:eastAsia="宋体" w:cs="宋体"/>
                <w:i w:val="0"/>
                <w:iCs w:val="0"/>
                <w:color w:val="auto"/>
                <w:sz w:val="22"/>
                <w:szCs w:val="22"/>
                <w:highlight w:val="none"/>
                <w:u w:val="single"/>
                <w:lang w:val="en-US" w:eastAsia="zh-CN" w:bidi="zh-CN"/>
              </w:rPr>
              <w:t xml:space="preserve"> 是 </w:t>
            </w:r>
            <w:r>
              <w:rPr>
                <w:rFonts w:hint="eastAsia" w:ascii="宋体" w:hAnsi="宋体" w:eastAsia="宋体" w:cs="宋体"/>
                <w:i w:val="0"/>
                <w:iCs w:val="0"/>
                <w:color w:val="auto"/>
                <w:sz w:val="22"/>
                <w:szCs w:val="22"/>
                <w:highlight w:val="none"/>
                <w:lang w:val="en-US" w:eastAsia="zh-CN" w:bidi="zh-CN"/>
              </w:rPr>
              <w:t>（是/否）有预付款，合同生效以及具备实施条件并待财政资金到位后7个工作日内</w:t>
            </w:r>
            <w:r>
              <w:rPr>
                <w:rFonts w:hint="eastAsia" w:ascii="宋体" w:hAnsi="宋体" w:eastAsia="宋体" w:cs="宋体"/>
                <w:i w:val="0"/>
                <w:iCs w:val="0"/>
                <w:color w:val="auto"/>
                <w:sz w:val="22"/>
                <w:szCs w:val="22"/>
                <w:highlight w:val="none"/>
                <w:lang w:val="zh-CN" w:eastAsia="zh-CN" w:bidi="zh-CN"/>
              </w:rPr>
              <w:t>甲方向乙方支付合同总价的</w:t>
            </w:r>
            <w:r>
              <w:rPr>
                <w:rFonts w:hint="eastAsia" w:ascii="宋体" w:hAnsi="宋体" w:cs="宋体"/>
                <w:i w:val="0"/>
                <w:iCs w:val="0"/>
                <w:color w:val="auto"/>
                <w:sz w:val="22"/>
                <w:szCs w:val="22"/>
                <w:highlight w:val="none"/>
                <w:u w:val="single"/>
                <w:lang w:val="en-US" w:eastAsia="zh-CN" w:bidi="zh-CN"/>
              </w:rPr>
              <w:t>40</w:t>
            </w:r>
            <w:r>
              <w:rPr>
                <w:rFonts w:hint="eastAsia" w:ascii="宋体" w:hAnsi="宋体" w:eastAsia="宋体" w:cs="宋体"/>
                <w:i w:val="0"/>
                <w:iCs w:val="0"/>
                <w:color w:val="auto"/>
                <w:sz w:val="22"/>
                <w:szCs w:val="22"/>
                <w:highlight w:val="none"/>
                <w:lang w:val="zh-CN" w:eastAsia="zh-CN" w:bidi="zh-CN"/>
              </w:rPr>
              <w:t>%，</w:t>
            </w:r>
            <w:r>
              <w:rPr>
                <w:rFonts w:hint="eastAsia" w:ascii="宋体" w:hAnsi="宋体" w:eastAsia="宋体" w:cs="宋体"/>
                <w:i w:val="0"/>
                <w:iCs w:val="0"/>
                <w:color w:val="auto"/>
                <w:sz w:val="22"/>
                <w:szCs w:val="22"/>
                <w:highlight w:val="none"/>
                <w:lang w:val="en-US" w:eastAsia="zh-CN" w:bidi="zh-CN"/>
              </w:rPr>
              <w:t>计</w:t>
            </w:r>
            <w:r>
              <w:rPr>
                <w:rFonts w:hint="eastAsia" w:ascii="宋体" w:hAnsi="宋体" w:eastAsia="宋体" w:cs="宋体"/>
                <w:i w:val="0"/>
                <w:iCs w:val="0"/>
                <w:color w:val="auto"/>
                <w:sz w:val="22"/>
                <w:szCs w:val="22"/>
                <w:highlight w:val="none"/>
                <w:u w:val="single"/>
                <w:lang w:val="en-US" w:eastAsia="zh-CN" w:bidi="zh-CN"/>
              </w:rPr>
              <w:t xml:space="preserve"> </w:t>
            </w:r>
            <w:r>
              <w:rPr>
                <w:rFonts w:hint="eastAsia" w:ascii="宋体" w:hAnsi="宋体" w:cs="宋体"/>
                <w:i w:val="0"/>
                <w:iCs w:val="0"/>
                <w:color w:val="auto"/>
                <w:sz w:val="22"/>
                <w:szCs w:val="22"/>
                <w:highlight w:val="none"/>
                <w:u w:val="single"/>
                <w:lang w:val="en-US" w:eastAsia="zh-CN" w:bidi="zh-CN"/>
              </w:rPr>
              <w:t xml:space="preserve">     </w:t>
            </w:r>
            <w:r>
              <w:rPr>
                <w:rFonts w:hint="eastAsia" w:ascii="宋体" w:hAnsi="宋体" w:eastAsia="宋体" w:cs="宋体"/>
                <w:i w:val="0"/>
                <w:iCs w:val="0"/>
                <w:color w:val="auto"/>
                <w:sz w:val="22"/>
                <w:szCs w:val="22"/>
                <w:highlight w:val="none"/>
                <w:u w:val="none"/>
                <w:lang w:val="en-US" w:eastAsia="zh-CN" w:bidi="zh-CN"/>
              </w:rPr>
              <w:t>元</w:t>
            </w:r>
            <w:r>
              <w:rPr>
                <w:rFonts w:hint="eastAsia" w:ascii="宋体" w:hAnsi="宋体" w:eastAsia="宋体" w:cs="宋体"/>
                <w:i w:val="0"/>
                <w:iCs w:val="0"/>
                <w:color w:val="auto"/>
                <w:sz w:val="22"/>
                <w:szCs w:val="22"/>
                <w:highlight w:val="none"/>
                <w:lang w:val="zh-CN" w:eastAsia="zh-CN" w:bidi="zh-CN"/>
              </w:rPr>
              <w:t>作为预付款；</w:t>
            </w:r>
          </w:p>
          <w:p w14:paraId="7C6E62E9">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leftChars="0" w:right="0" w:rightChars="0"/>
              <w:textAlignment w:val="auto"/>
              <w:outlineLvl w:val="9"/>
              <w:rPr>
                <w:rFonts w:hint="eastAsia" w:ascii="宋体" w:hAnsi="宋体" w:eastAsia="宋体" w:cs="宋体"/>
                <w:i w:val="0"/>
                <w:iCs w:val="0"/>
                <w:color w:val="auto"/>
                <w:sz w:val="22"/>
                <w:szCs w:val="22"/>
                <w:highlight w:val="none"/>
                <w:lang w:val="zh-CN" w:eastAsia="zh-CN" w:bidi="zh-CN"/>
              </w:rPr>
            </w:pPr>
            <w:r>
              <w:rPr>
                <w:rFonts w:hint="eastAsia" w:ascii="宋体" w:hAnsi="宋体" w:eastAsia="宋体" w:cs="宋体"/>
                <w:b/>
                <w:bCs/>
                <w:i w:val="0"/>
                <w:iCs w:val="0"/>
                <w:color w:val="auto"/>
                <w:sz w:val="22"/>
                <w:szCs w:val="22"/>
                <w:highlight w:val="none"/>
                <w:lang w:val="en-US" w:eastAsia="zh-CN" w:bidi="zh-CN"/>
              </w:rPr>
              <w:t>进度款：</w:t>
            </w:r>
            <w:r>
              <w:rPr>
                <w:rFonts w:hint="eastAsia" w:ascii="宋体" w:hAnsi="宋体" w:eastAsia="宋体" w:cs="宋体"/>
                <w:i w:val="0"/>
                <w:iCs w:val="0"/>
                <w:color w:val="auto"/>
                <w:sz w:val="22"/>
                <w:szCs w:val="22"/>
                <w:highlight w:val="none"/>
                <w:u w:val="single"/>
                <w:lang w:val="en-US" w:eastAsia="zh-CN" w:bidi="zh-CN"/>
              </w:rPr>
              <w:t xml:space="preserve"> </w:t>
            </w:r>
            <w:r>
              <w:rPr>
                <w:rFonts w:hint="eastAsia" w:ascii="宋体" w:hAnsi="宋体" w:cs="宋体"/>
                <w:i w:val="0"/>
                <w:iCs w:val="0"/>
                <w:color w:val="auto"/>
                <w:sz w:val="22"/>
                <w:szCs w:val="22"/>
                <w:highlight w:val="none"/>
                <w:u w:val="single"/>
                <w:lang w:val="en-US" w:eastAsia="zh-CN" w:bidi="zh-CN"/>
              </w:rPr>
              <w:t>是</w:t>
            </w:r>
            <w:r>
              <w:rPr>
                <w:rFonts w:hint="eastAsia" w:ascii="宋体" w:hAnsi="宋体" w:eastAsia="宋体" w:cs="宋体"/>
                <w:i w:val="0"/>
                <w:iCs w:val="0"/>
                <w:color w:val="auto"/>
                <w:sz w:val="22"/>
                <w:szCs w:val="22"/>
                <w:highlight w:val="none"/>
                <w:u w:val="single"/>
                <w:lang w:val="en-US" w:eastAsia="zh-CN" w:bidi="zh-CN"/>
              </w:rPr>
              <w:t xml:space="preserve"> </w:t>
            </w:r>
            <w:r>
              <w:rPr>
                <w:rFonts w:hint="eastAsia" w:ascii="宋体" w:hAnsi="宋体" w:eastAsia="宋体" w:cs="宋体"/>
                <w:i w:val="0"/>
                <w:iCs w:val="0"/>
                <w:color w:val="auto"/>
                <w:sz w:val="22"/>
                <w:szCs w:val="22"/>
                <w:highlight w:val="none"/>
                <w:lang w:val="en-US" w:eastAsia="zh-CN" w:bidi="zh-CN"/>
              </w:rPr>
              <w:t>（是/否）有进度款，如有，则</w:t>
            </w:r>
            <w:r>
              <w:rPr>
                <w:rFonts w:hint="eastAsia" w:ascii="宋体" w:hAnsi="宋体" w:eastAsia="宋体" w:cs="宋体"/>
                <w:i w:val="0"/>
                <w:iCs w:val="0"/>
                <w:color w:val="auto"/>
                <w:sz w:val="22"/>
                <w:szCs w:val="22"/>
                <w:highlight w:val="none"/>
                <w:u w:val="single"/>
                <w:lang w:val="en-US" w:eastAsia="zh-CN" w:bidi="zh-CN"/>
              </w:rPr>
              <w:t xml:space="preserve"> </w:t>
            </w:r>
            <w:r>
              <w:rPr>
                <w:rFonts w:hint="eastAsia" w:ascii="宋体" w:hAnsi="宋体" w:cs="宋体"/>
                <w:i w:val="0"/>
                <w:iCs w:val="0"/>
                <w:color w:val="auto"/>
                <w:sz w:val="22"/>
                <w:szCs w:val="22"/>
                <w:highlight w:val="none"/>
                <w:u w:val="single"/>
                <w:lang w:val="en-US" w:eastAsia="zh-CN" w:bidi="zh-CN"/>
              </w:rPr>
              <w:t>合作院校签约仪式和揭牌仪式</w:t>
            </w:r>
            <w:r>
              <w:rPr>
                <w:rFonts w:hint="eastAsia" w:ascii="宋体" w:hAnsi="宋体" w:eastAsia="宋体" w:cs="宋体"/>
                <w:i w:val="0"/>
                <w:iCs w:val="0"/>
                <w:color w:val="auto"/>
                <w:sz w:val="22"/>
                <w:szCs w:val="22"/>
                <w:highlight w:val="none"/>
                <w:u w:val="single"/>
                <w:lang w:val="en-US" w:eastAsia="zh-CN" w:bidi="zh-CN"/>
              </w:rPr>
              <w:t xml:space="preserve">       </w:t>
            </w:r>
            <w:r>
              <w:rPr>
                <w:rFonts w:hint="eastAsia" w:ascii="宋体" w:hAnsi="宋体" w:eastAsia="宋体" w:cs="宋体"/>
                <w:i w:val="0"/>
                <w:iCs w:val="0"/>
                <w:color w:val="auto"/>
                <w:sz w:val="22"/>
                <w:szCs w:val="22"/>
                <w:highlight w:val="none"/>
                <w:lang w:val="zh-CN" w:eastAsia="zh-CN" w:bidi="zh-CN"/>
              </w:rPr>
              <w:t>后，</w:t>
            </w:r>
            <w:r>
              <w:rPr>
                <w:rFonts w:hint="eastAsia" w:ascii="宋体" w:hAnsi="宋体" w:eastAsia="宋体" w:cs="宋体"/>
                <w:i w:val="0"/>
                <w:iCs w:val="0"/>
                <w:color w:val="auto"/>
                <w:sz w:val="22"/>
                <w:szCs w:val="22"/>
                <w:highlight w:val="none"/>
                <w:lang w:val="en-US" w:eastAsia="zh-CN" w:bidi="zh-CN"/>
              </w:rPr>
              <w:t>自收到发票后</w:t>
            </w:r>
            <w:r>
              <w:rPr>
                <w:rFonts w:hint="eastAsia" w:ascii="宋体" w:hAnsi="宋体" w:cs="宋体"/>
                <w:i w:val="0"/>
                <w:iCs w:val="0"/>
                <w:color w:val="auto"/>
                <w:sz w:val="22"/>
                <w:szCs w:val="22"/>
                <w:highlight w:val="none"/>
                <w:lang w:val="en-US" w:eastAsia="zh-CN" w:bidi="zh-CN"/>
              </w:rPr>
              <w:t>7</w:t>
            </w:r>
            <w:r>
              <w:rPr>
                <w:rFonts w:hint="eastAsia" w:ascii="宋体" w:hAnsi="宋体" w:eastAsia="宋体" w:cs="宋体"/>
                <w:i w:val="0"/>
                <w:iCs w:val="0"/>
                <w:color w:val="auto"/>
                <w:sz w:val="22"/>
                <w:szCs w:val="22"/>
                <w:highlight w:val="none"/>
                <w:lang w:val="en-US" w:eastAsia="zh-CN" w:bidi="zh-CN"/>
              </w:rPr>
              <w:t>个工作日内</w:t>
            </w:r>
            <w:r>
              <w:rPr>
                <w:rFonts w:hint="eastAsia" w:ascii="宋体" w:hAnsi="宋体" w:eastAsia="宋体" w:cs="宋体"/>
                <w:i w:val="0"/>
                <w:iCs w:val="0"/>
                <w:color w:val="auto"/>
                <w:sz w:val="22"/>
                <w:szCs w:val="22"/>
                <w:highlight w:val="none"/>
                <w:lang w:val="zh-CN" w:eastAsia="zh-CN" w:bidi="zh-CN"/>
              </w:rPr>
              <w:t>甲方向乙方支付合同总价的</w:t>
            </w:r>
            <w:r>
              <w:rPr>
                <w:rFonts w:hint="eastAsia" w:ascii="宋体" w:hAnsi="宋体" w:eastAsia="宋体" w:cs="宋体"/>
                <w:i w:val="0"/>
                <w:iCs w:val="0"/>
                <w:color w:val="auto"/>
                <w:sz w:val="22"/>
                <w:szCs w:val="22"/>
                <w:highlight w:val="none"/>
                <w:u w:val="single"/>
                <w:lang w:val="en-US" w:eastAsia="zh-CN" w:bidi="zh-CN"/>
              </w:rPr>
              <w:t xml:space="preserve"> </w:t>
            </w:r>
            <w:r>
              <w:rPr>
                <w:rFonts w:hint="eastAsia" w:ascii="宋体" w:hAnsi="宋体" w:cs="宋体"/>
                <w:i w:val="0"/>
                <w:iCs w:val="0"/>
                <w:color w:val="auto"/>
                <w:sz w:val="22"/>
                <w:szCs w:val="22"/>
                <w:highlight w:val="none"/>
                <w:u w:val="single"/>
                <w:lang w:val="en-US" w:eastAsia="zh-CN" w:bidi="zh-CN"/>
              </w:rPr>
              <w:t>45</w:t>
            </w:r>
            <w:r>
              <w:rPr>
                <w:rFonts w:hint="eastAsia" w:ascii="宋体" w:hAnsi="宋体" w:eastAsia="宋体" w:cs="宋体"/>
                <w:i w:val="0"/>
                <w:iCs w:val="0"/>
                <w:color w:val="auto"/>
                <w:sz w:val="22"/>
                <w:szCs w:val="22"/>
                <w:highlight w:val="none"/>
                <w:u w:val="single"/>
                <w:lang w:val="en-US" w:eastAsia="zh-CN" w:bidi="zh-CN"/>
              </w:rPr>
              <w:t xml:space="preserve"> </w:t>
            </w:r>
            <w:r>
              <w:rPr>
                <w:rFonts w:hint="eastAsia" w:ascii="宋体" w:hAnsi="宋体" w:eastAsia="宋体" w:cs="宋体"/>
                <w:i w:val="0"/>
                <w:iCs w:val="0"/>
                <w:color w:val="auto"/>
                <w:sz w:val="22"/>
                <w:szCs w:val="22"/>
                <w:highlight w:val="none"/>
                <w:lang w:val="zh-CN" w:eastAsia="zh-CN" w:bidi="zh-CN"/>
              </w:rPr>
              <w:t>%，</w:t>
            </w:r>
            <w:r>
              <w:rPr>
                <w:rFonts w:hint="eastAsia" w:ascii="宋体" w:hAnsi="宋体" w:eastAsia="宋体" w:cs="宋体"/>
                <w:i w:val="0"/>
                <w:iCs w:val="0"/>
                <w:color w:val="auto"/>
                <w:sz w:val="22"/>
                <w:szCs w:val="22"/>
                <w:highlight w:val="none"/>
                <w:lang w:val="en-US" w:eastAsia="zh-CN" w:bidi="zh-CN"/>
              </w:rPr>
              <w:t>计</w:t>
            </w:r>
            <w:r>
              <w:rPr>
                <w:rFonts w:hint="eastAsia" w:ascii="宋体" w:hAnsi="宋体" w:cs="宋体"/>
                <w:i w:val="0"/>
                <w:iCs w:val="0"/>
                <w:color w:val="auto"/>
                <w:sz w:val="22"/>
                <w:szCs w:val="22"/>
                <w:highlight w:val="none"/>
                <w:u w:val="single"/>
                <w:lang w:val="en-US" w:eastAsia="zh-CN" w:bidi="zh-CN"/>
              </w:rPr>
              <w:t xml:space="preserve">     </w:t>
            </w:r>
            <w:r>
              <w:rPr>
                <w:rFonts w:hint="eastAsia" w:ascii="宋体" w:hAnsi="宋体" w:eastAsia="宋体" w:cs="宋体"/>
                <w:i w:val="0"/>
                <w:iCs w:val="0"/>
                <w:color w:val="auto"/>
                <w:sz w:val="22"/>
                <w:szCs w:val="22"/>
                <w:highlight w:val="none"/>
                <w:u w:val="none"/>
                <w:lang w:val="en-US" w:eastAsia="zh-CN" w:bidi="zh-CN"/>
              </w:rPr>
              <w:t>元</w:t>
            </w:r>
            <w:r>
              <w:rPr>
                <w:rFonts w:hint="eastAsia" w:ascii="宋体" w:hAnsi="宋体" w:eastAsia="宋体" w:cs="宋体"/>
                <w:i w:val="0"/>
                <w:iCs w:val="0"/>
                <w:color w:val="auto"/>
                <w:sz w:val="22"/>
                <w:szCs w:val="22"/>
                <w:highlight w:val="none"/>
                <w:lang w:val="zh-CN" w:eastAsia="zh-CN" w:bidi="zh-CN"/>
              </w:rPr>
              <w:t>；</w:t>
            </w:r>
          </w:p>
          <w:p w14:paraId="6C0AD944">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leftChars="0" w:right="0" w:rightChars="0"/>
              <w:textAlignment w:val="auto"/>
              <w:outlineLvl w:val="9"/>
              <w:rPr>
                <w:rFonts w:hint="eastAsia" w:ascii="宋体" w:hAnsi="宋体" w:eastAsia="宋体" w:cs="宋体"/>
                <w:i w:val="0"/>
                <w:iCs w:val="0"/>
                <w:color w:val="auto"/>
                <w:sz w:val="22"/>
                <w:szCs w:val="22"/>
                <w:highlight w:val="none"/>
                <w:lang w:val="zh-CN" w:eastAsia="zh-CN" w:bidi="zh-CN"/>
              </w:rPr>
            </w:pPr>
            <w:r>
              <w:rPr>
                <w:rFonts w:hint="eastAsia" w:ascii="宋体" w:hAnsi="宋体" w:eastAsia="宋体" w:cs="宋体"/>
                <w:b/>
                <w:bCs/>
                <w:i w:val="0"/>
                <w:iCs w:val="0"/>
                <w:color w:val="auto"/>
                <w:sz w:val="22"/>
                <w:szCs w:val="22"/>
                <w:highlight w:val="none"/>
                <w:lang w:val="en-US" w:eastAsia="zh-CN" w:bidi="zh-CN"/>
              </w:rPr>
              <w:t>尾款</w:t>
            </w:r>
            <w:r>
              <w:rPr>
                <w:rFonts w:hint="eastAsia" w:ascii="宋体" w:hAnsi="宋体" w:eastAsia="宋体" w:cs="宋体"/>
                <w:i w:val="0"/>
                <w:iCs w:val="0"/>
                <w:color w:val="auto"/>
                <w:sz w:val="22"/>
                <w:szCs w:val="22"/>
                <w:highlight w:val="none"/>
                <w:lang w:val="en-US" w:eastAsia="zh-CN" w:bidi="zh-CN"/>
              </w:rPr>
              <w:t>：全部项目验收合格且收到乙方开具的全额正式发票后</w:t>
            </w:r>
            <w:r>
              <w:rPr>
                <w:rFonts w:hint="eastAsia" w:ascii="宋体" w:hAnsi="宋体" w:cs="宋体"/>
                <w:i w:val="0"/>
                <w:iCs w:val="0"/>
                <w:color w:val="auto"/>
                <w:sz w:val="22"/>
                <w:szCs w:val="22"/>
                <w:highlight w:val="none"/>
                <w:lang w:val="en-US" w:eastAsia="zh-CN" w:bidi="zh-CN"/>
              </w:rPr>
              <w:t>7</w:t>
            </w:r>
            <w:r>
              <w:rPr>
                <w:rFonts w:hint="eastAsia" w:ascii="宋体" w:hAnsi="宋体" w:eastAsia="宋体" w:cs="宋体"/>
                <w:i w:val="0"/>
                <w:iCs w:val="0"/>
                <w:color w:val="auto"/>
                <w:sz w:val="22"/>
                <w:szCs w:val="22"/>
                <w:highlight w:val="none"/>
                <w:lang w:val="en-US" w:eastAsia="zh-CN" w:bidi="zh-CN"/>
              </w:rPr>
              <w:t>个工作日内</w:t>
            </w:r>
            <w:r>
              <w:rPr>
                <w:rFonts w:hint="eastAsia" w:ascii="宋体" w:hAnsi="宋体" w:eastAsia="宋体" w:cs="宋体"/>
                <w:i w:val="0"/>
                <w:iCs w:val="0"/>
                <w:color w:val="auto"/>
                <w:sz w:val="22"/>
                <w:szCs w:val="22"/>
                <w:highlight w:val="none"/>
                <w:lang w:val="zh-CN" w:eastAsia="zh-CN" w:bidi="zh-CN"/>
              </w:rPr>
              <w:t>，甲方向乙方支付合同总价的</w:t>
            </w:r>
            <w:r>
              <w:rPr>
                <w:rFonts w:hint="eastAsia" w:ascii="宋体" w:hAnsi="宋体" w:eastAsia="宋体" w:cs="宋体"/>
                <w:i w:val="0"/>
                <w:iCs w:val="0"/>
                <w:color w:val="auto"/>
                <w:sz w:val="22"/>
                <w:szCs w:val="22"/>
                <w:highlight w:val="none"/>
                <w:u w:val="single"/>
                <w:lang w:val="en-US" w:eastAsia="zh-CN" w:bidi="zh-CN"/>
              </w:rPr>
              <w:t xml:space="preserve"> </w:t>
            </w:r>
            <w:r>
              <w:rPr>
                <w:rFonts w:hint="default" w:ascii="宋体" w:hAnsi="宋体" w:cs="宋体"/>
                <w:i w:val="0"/>
                <w:iCs w:val="0"/>
                <w:color w:val="auto"/>
                <w:sz w:val="22"/>
                <w:szCs w:val="22"/>
                <w:highlight w:val="none"/>
                <w:u w:val="single"/>
                <w:lang w:val="en-US" w:eastAsia="zh-CN" w:bidi="zh-CN"/>
              </w:rPr>
              <w:t>15</w:t>
            </w:r>
            <w:r>
              <w:rPr>
                <w:rFonts w:hint="eastAsia" w:ascii="宋体" w:hAnsi="宋体" w:eastAsia="宋体" w:cs="宋体"/>
                <w:i w:val="0"/>
                <w:iCs w:val="0"/>
                <w:color w:val="auto"/>
                <w:sz w:val="22"/>
                <w:szCs w:val="22"/>
                <w:highlight w:val="none"/>
                <w:u w:val="single"/>
                <w:lang w:val="en-US" w:eastAsia="zh-CN" w:bidi="zh-CN"/>
              </w:rPr>
              <w:t xml:space="preserve"> </w:t>
            </w:r>
            <w:r>
              <w:rPr>
                <w:rFonts w:hint="eastAsia" w:ascii="宋体" w:hAnsi="宋体" w:eastAsia="宋体" w:cs="宋体"/>
                <w:i w:val="0"/>
                <w:iCs w:val="0"/>
                <w:color w:val="auto"/>
                <w:sz w:val="22"/>
                <w:szCs w:val="22"/>
                <w:highlight w:val="none"/>
                <w:lang w:val="zh-CN" w:eastAsia="zh-CN" w:bidi="zh-CN"/>
              </w:rPr>
              <w:t>%，</w:t>
            </w:r>
            <w:r>
              <w:rPr>
                <w:rFonts w:hint="eastAsia" w:ascii="宋体" w:hAnsi="宋体" w:eastAsia="宋体" w:cs="宋体"/>
                <w:i w:val="0"/>
                <w:iCs w:val="0"/>
                <w:color w:val="auto"/>
                <w:sz w:val="22"/>
                <w:szCs w:val="22"/>
                <w:highlight w:val="none"/>
                <w:lang w:val="en-US" w:eastAsia="zh-CN" w:bidi="zh-CN"/>
              </w:rPr>
              <w:t>计</w:t>
            </w:r>
            <w:r>
              <w:rPr>
                <w:rFonts w:hint="eastAsia" w:ascii="宋体" w:hAnsi="宋体" w:cs="宋体"/>
                <w:i w:val="0"/>
                <w:iCs w:val="0"/>
                <w:color w:val="auto"/>
                <w:sz w:val="22"/>
                <w:szCs w:val="22"/>
                <w:highlight w:val="none"/>
                <w:u w:val="single"/>
                <w:lang w:val="en-US" w:eastAsia="zh-CN" w:bidi="zh-CN"/>
              </w:rPr>
              <w:t xml:space="preserve">       </w:t>
            </w:r>
            <w:r>
              <w:rPr>
                <w:rFonts w:hint="eastAsia" w:ascii="宋体" w:hAnsi="宋体" w:eastAsia="宋体" w:cs="宋体"/>
                <w:i w:val="0"/>
                <w:iCs w:val="0"/>
                <w:color w:val="auto"/>
                <w:sz w:val="22"/>
                <w:szCs w:val="22"/>
                <w:highlight w:val="none"/>
                <w:u w:val="none"/>
                <w:lang w:val="en-US" w:eastAsia="zh-CN" w:bidi="zh-CN"/>
              </w:rPr>
              <w:t>元</w:t>
            </w:r>
            <w:r>
              <w:rPr>
                <w:rFonts w:hint="eastAsia" w:ascii="宋体" w:hAnsi="宋体" w:eastAsia="宋体" w:cs="宋体"/>
                <w:i w:val="0"/>
                <w:iCs w:val="0"/>
                <w:color w:val="auto"/>
                <w:sz w:val="22"/>
                <w:szCs w:val="22"/>
                <w:highlight w:val="none"/>
                <w:lang w:val="zh-CN" w:eastAsia="zh-CN" w:bidi="zh-CN"/>
              </w:rPr>
              <w:t>。</w:t>
            </w:r>
          </w:p>
          <w:p w14:paraId="2925F6DC">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leftChars="0" w:right="0" w:rightChars="0"/>
              <w:textAlignment w:val="auto"/>
              <w:outlineLvl w:val="9"/>
              <w:rPr>
                <w:rFonts w:hint="eastAsia" w:ascii="宋体" w:hAnsi="宋体" w:eastAsia="宋体" w:cs="宋体"/>
                <w:b/>
                <w:bCs/>
                <w:i w:val="0"/>
                <w:iCs w:val="0"/>
                <w:color w:val="auto"/>
                <w:sz w:val="22"/>
                <w:szCs w:val="22"/>
                <w:highlight w:val="none"/>
                <w:lang w:val="en-US" w:eastAsia="zh-CN" w:bidi="zh-CN"/>
              </w:rPr>
            </w:pPr>
            <w:r>
              <w:rPr>
                <w:rFonts w:hint="eastAsia" w:ascii="宋体" w:hAnsi="宋体" w:eastAsia="宋体" w:cs="宋体"/>
                <w:b/>
                <w:bCs/>
                <w:i w:val="0"/>
                <w:iCs w:val="0"/>
                <w:color w:val="auto"/>
                <w:sz w:val="22"/>
                <w:szCs w:val="22"/>
                <w:highlight w:val="none"/>
                <w:lang w:val="en-US" w:eastAsia="zh-CN" w:bidi="zh-CN"/>
              </w:rPr>
              <w:sym w:font="Wingdings" w:char="00A8"/>
            </w:r>
            <w:r>
              <w:rPr>
                <w:rFonts w:hint="eastAsia" w:ascii="宋体" w:hAnsi="宋体" w:eastAsia="宋体" w:cs="宋体"/>
                <w:b/>
                <w:bCs/>
                <w:i w:val="0"/>
                <w:iCs w:val="0"/>
                <w:color w:val="auto"/>
                <w:sz w:val="22"/>
                <w:szCs w:val="22"/>
                <w:highlight w:val="none"/>
                <w:lang w:val="en-US" w:eastAsia="zh-CN" w:bidi="zh-CN"/>
              </w:rPr>
              <w:t>C：阶段性支付。</w:t>
            </w:r>
          </w:p>
          <w:p w14:paraId="791BDB49">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leftChars="0" w:right="0" w:rightChars="0"/>
              <w:textAlignment w:val="auto"/>
              <w:outlineLvl w:val="9"/>
              <w:rPr>
                <w:rFonts w:hint="eastAsia" w:ascii="宋体" w:hAnsi="宋体" w:eastAsia="宋体" w:cs="宋体"/>
                <w:i w:val="0"/>
                <w:iCs w:val="0"/>
                <w:color w:val="auto"/>
                <w:sz w:val="22"/>
                <w:szCs w:val="22"/>
                <w:highlight w:val="none"/>
                <w:lang w:val="zh-CN" w:eastAsia="zh-CN" w:bidi="zh-CN"/>
              </w:rPr>
            </w:pPr>
            <w:r>
              <w:rPr>
                <w:rFonts w:hint="eastAsia" w:ascii="宋体" w:hAnsi="宋体" w:eastAsia="宋体" w:cs="宋体"/>
                <w:b/>
                <w:bCs/>
                <w:i w:val="0"/>
                <w:iCs w:val="0"/>
                <w:color w:val="auto"/>
                <w:sz w:val="22"/>
                <w:szCs w:val="22"/>
                <w:highlight w:val="none"/>
                <w:lang w:val="en-US" w:eastAsia="zh-CN" w:bidi="zh-CN"/>
              </w:rPr>
              <w:t>预付款：</w:t>
            </w:r>
            <w:r>
              <w:rPr>
                <w:rFonts w:hint="eastAsia" w:ascii="宋体" w:hAnsi="宋体" w:eastAsia="宋体" w:cs="宋体"/>
                <w:i w:val="0"/>
                <w:iCs w:val="0"/>
                <w:color w:val="auto"/>
                <w:sz w:val="22"/>
                <w:szCs w:val="22"/>
                <w:highlight w:val="none"/>
                <w:u w:val="single"/>
                <w:lang w:val="en-US" w:eastAsia="zh-CN" w:bidi="zh-CN"/>
              </w:rPr>
              <w:t xml:space="preserve">     </w:t>
            </w:r>
            <w:r>
              <w:rPr>
                <w:rFonts w:hint="eastAsia" w:ascii="宋体" w:hAnsi="宋体" w:eastAsia="宋体" w:cs="宋体"/>
                <w:i w:val="0"/>
                <w:iCs w:val="0"/>
                <w:color w:val="auto"/>
                <w:sz w:val="22"/>
                <w:szCs w:val="22"/>
                <w:highlight w:val="none"/>
                <w:lang w:val="en-US" w:eastAsia="zh-CN" w:bidi="zh-CN"/>
              </w:rPr>
              <w:t>（是/否）有预付款，合同生效以及具备实施条件后7个工作日内</w:t>
            </w:r>
            <w:r>
              <w:rPr>
                <w:rFonts w:hint="eastAsia" w:ascii="宋体" w:hAnsi="宋体" w:eastAsia="宋体" w:cs="宋体"/>
                <w:i w:val="0"/>
                <w:iCs w:val="0"/>
                <w:color w:val="auto"/>
                <w:sz w:val="22"/>
                <w:szCs w:val="22"/>
                <w:highlight w:val="none"/>
                <w:lang w:val="zh-CN" w:eastAsia="zh-CN" w:bidi="zh-CN"/>
              </w:rPr>
              <w:t>甲方向乙方支付合同总价的</w:t>
            </w:r>
            <w:r>
              <w:rPr>
                <w:rFonts w:hint="eastAsia" w:ascii="宋体" w:hAnsi="宋体" w:eastAsia="宋体" w:cs="宋体"/>
                <w:i w:val="0"/>
                <w:iCs w:val="0"/>
                <w:color w:val="auto"/>
                <w:sz w:val="22"/>
                <w:szCs w:val="22"/>
                <w:highlight w:val="none"/>
                <w:u w:val="single"/>
                <w:lang w:val="en-US" w:eastAsia="zh-CN" w:bidi="zh-CN"/>
              </w:rPr>
              <w:t xml:space="preserve">     </w:t>
            </w:r>
            <w:r>
              <w:rPr>
                <w:rFonts w:hint="eastAsia" w:ascii="宋体" w:hAnsi="宋体" w:eastAsia="宋体" w:cs="宋体"/>
                <w:i w:val="0"/>
                <w:iCs w:val="0"/>
                <w:color w:val="auto"/>
                <w:sz w:val="22"/>
                <w:szCs w:val="22"/>
                <w:highlight w:val="none"/>
                <w:lang w:val="en-US" w:eastAsia="zh-CN" w:bidi="zh-CN"/>
              </w:rPr>
              <w:t xml:space="preserve"> </w:t>
            </w:r>
            <w:r>
              <w:rPr>
                <w:rFonts w:hint="eastAsia" w:ascii="宋体" w:hAnsi="宋体" w:eastAsia="宋体" w:cs="宋体"/>
                <w:i w:val="0"/>
                <w:iCs w:val="0"/>
                <w:color w:val="auto"/>
                <w:sz w:val="22"/>
                <w:szCs w:val="22"/>
                <w:highlight w:val="none"/>
                <w:lang w:val="zh-CN" w:eastAsia="zh-CN" w:bidi="zh-CN"/>
              </w:rPr>
              <w:t>%，</w:t>
            </w:r>
            <w:r>
              <w:rPr>
                <w:rFonts w:hint="eastAsia" w:ascii="宋体" w:hAnsi="宋体" w:eastAsia="宋体" w:cs="宋体"/>
                <w:i w:val="0"/>
                <w:iCs w:val="0"/>
                <w:color w:val="auto"/>
                <w:sz w:val="22"/>
                <w:szCs w:val="22"/>
                <w:highlight w:val="none"/>
                <w:lang w:val="en-US" w:eastAsia="zh-CN" w:bidi="zh-CN"/>
              </w:rPr>
              <w:t>计</w:t>
            </w:r>
            <w:r>
              <w:rPr>
                <w:rFonts w:hint="eastAsia" w:ascii="宋体" w:hAnsi="宋体" w:eastAsia="宋体" w:cs="宋体"/>
                <w:i w:val="0"/>
                <w:iCs w:val="0"/>
                <w:color w:val="auto"/>
                <w:sz w:val="22"/>
                <w:szCs w:val="22"/>
                <w:highlight w:val="none"/>
                <w:u w:val="single"/>
                <w:lang w:val="en-US" w:eastAsia="zh-CN" w:bidi="zh-CN"/>
              </w:rPr>
              <w:t xml:space="preserve">     </w:t>
            </w:r>
            <w:r>
              <w:rPr>
                <w:rFonts w:hint="eastAsia" w:ascii="宋体" w:hAnsi="宋体" w:eastAsia="宋体" w:cs="宋体"/>
                <w:i w:val="0"/>
                <w:iCs w:val="0"/>
                <w:color w:val="auto"/>
                <w:sz w:val="22"/>
                <w:szCs w:val="22"/>
                <w:highlight w:val="none"/>
                <w:u w:val="none"/>
                <w:lang w:val="en-US" w:eastAsia="zh-CN" w:bidi="zh-CN"/>
              </w:rPr>
              <w:t>元</w:t>
            </w:r>
            <w:r>
              <w:rPr>
                <w:rFonts w:hint="eastAsia" w:ascii="宋体" w:hAnsi="宋体" w:eastAsia="宋体" w:cs="宋体"/>
                <w:i w:val="0"/>
                <w:iCs w:val="0"/>
                <w:color w:val="auto"/>
                <w:sz w:val="22"/>
                <w:szCs w:val="22"/>
                <w:highlight w:val="none"/>
                <w:lang w:val="zh-CN" w:eastAsia="zh-CN" w:bidi="zh-CN"/>
              </w:rPr>
              <w:t>作为预付款；</w:t>
            </w:r>
          </w:p>
          <w:p w14:paraId="152BA458">
            <w:pPr>
              <w:keepNext w:val="0"/>
              <w:keepLines w:val="0"/>
              <w:pageBreakBefore w:val="0"/>
              <w:numPr>
                <w:ilvl w:val="0"/>
                <w:numId w:val="0"/>
              </w:numPr>
              <w:kinsoku/>
              <w:wordWrap/>
              <w:overflowPunct/>
              <w:topLinePunct w:val="0"/>
              <w:bidi w:val="0"/>
              <w:snapToGrid/>
              <w:spacing w:line="360" w:lineRule="exact"/>
              <w:ind w:right="0" w:rightChars="0"/>
              <w:textAlignment w:val="auto"/>
              <w:outlineLvl w:val="9"/>
              <w:rPr>
                <w:rFonts w:hint="eastAsia" w:ascii="宋体" w:hAnsi="宋体" w:eastAsia="宋体" w:cs="宋体"/>
                <w:i w:val="0"/>
                <w:iCs w:val="0"/>
                <w:color w:val="auto"/>
                <w:sz w:val="22"/>
                <w:szCs w:val="22"/>
                <w:highlight w:val="none"/>
                <w:lang w:val="en-US" w:eastAsia="zh-CN" w:bidi="zh-CN"/>
              </w:rPr>
            </w:pPr>
            <w:r>
              <w:rPr>
                <w:rFonts w:hint="eastAsia" w:ascii="宋体" w:hAnsi="宋体" w:eastAsia="宋体" w:cs="宋体"/>
                <w:b/>
                <w:bCs/>
                <w:i w:val="0"/>
                <w:iCs w:val="0"/>
                <w:color w:val="auto"/>
                <w:sz w:val="22"/>
                <w:szCs w:val="22"/>
                <w:highlight w:val="none"/>
                <w:lang w:val="en-US" w:eastAsia="zh-CN" w:bidi="zh-CN"/>
              </w:rPr>
              <w:t>其余款项：</w:t>
            </w:r>
            <w:r>
              <w:rPr>
                <w:rFonts w:hint="eastAsia" w:ascii="宋体" w:hAnsi="宋体" w:eastAsia="宋体" w:cs="宋体"/>
                <w:i w:val="0"/>
                <w:iCs w:val="0"/>
                <w:color w:val="auto"/>
                <w:sz w:val="22"/>
                <w:szCs w:val="22"/>
                <w:highlight w:val="none"/>
                <w:lang w:val="en-US" w:eastAsia="zh-CN" w:bidi="zh-CN"/>
              </w:rPr>
              <w:t>按</w:t>
            </w:r>
            <w:r>
              <w:rPr>
                <w:rFonts w:hint="eastAsia" w:ascii="宋体" w:hAnsi="宋体" w:eastAsia="宋体" w:cs="宋体"/>
                <w:i w:val="0"/>
                <w:iCs w:val="0"/>
                <w:color w:val="auto"/>
                <w:sz w:val="22"/>
                <w:szCs w:val="22"/>
                <w:highlight w:val="none"/>
                <w:u w:val="single"/>
                <w:lang w:val="en-US" w:eastAsia="zh-CN" w:bidi="zh-CN"/>
              </w:rPr>
              <w:t xml:space="preserve">    （单位：月/季/次） </w:t>
            </w:r>
            <w:r>
              <w:rPr>
                <w:rFonts w:hint="eastAsia" w:ascii="宋体" w:hAnsi="宋体" w:eastAsia="宋体" w:cs="宋体"/>
                <w:i w:val="0"/>
                <w:iCs w:val="0"/>
                <w:color w:val="auto"/>
                <w:sz w:val="22"/>
                <w:szCs w:val="22"/>
                <w:highlight w:val="none"/>
                <w:u w:val="none"/>
                <w:lang w:val="en-US" w:eastAsia="zh-CN" w:bidi="zh-CN"/>
              </w:rPr>
              <w:t>结算，</w:t>
            </w:r>
            <w:r>
              <w:rPr>
                <w:rFonts w:hint="eastAsia" w:ascii="宋体" w:hAnsi="宋体" w:eastAsia="宋体" w:cs="宋体"/>
                <w:i w:val="0"/>
                <w:iCs w:val="0"/>
                <w:color w:val="auto"/>
                <w:sz w:val="22"/>
                <w:szCs w:val="22"/>
                <w:highlight w:val="none"/>
                <w:lang w:val="en-US" w:eastAsia="zh-CN" w:bidi="zh-CN"/>
              </w:rPr>
              <w:t>经验收合格/考核通过且收到乙方开具的全额正式发票后</w:t>
            </w:r>
            <w:r>
              <w:rPr>
                <w:rFonts w:hint="eastAsia" w:ascii="宋体" w:hAnsi="宋体" w:eastAsia="宋体" w:cs="宋体"/>
                <w:i w:val="0"/>
                <w:iCs w:val="0"/>
                <w:color w:val="auto"/>
                <w:sz w:val="22"/>
                <w:szCs w:val="22"/>
                <w:highlight w:val="none"/>
                <w:u w:val="none"/>
                <w:lang w:val="en-US" w:eastAsia="zh-CN" w:bidi="zh-CN"/>
              </w:rPr>
              <w:t>15</w:t>
            </w:r>
            <w:r>
              <w:rPr>
                <w:rFonts w:hint="eastAsia" w:ascii="宋体" w:hAnsi="宋体" w:eastAsia="宋体" w:cs="宋体"/>
                <w:i w:val="0"/>
                <w:iCs w:val="0"/>
                <w:color w:val="auto"/>
                <w:sz w:val="22"/>
                <w:szCs w:val="22"/>
                <w:highlight w:val="none"/>
                <w:lang w:val="en-US" w:eastAsia="zh-CN" w:bidi="zh-CN"/>
              </w:rPr>
              <w:t>个工作日内支付。</w:t>
            </w:r>
          </w:p>
          <w:p w14:paraId="0C021BDD">
            <w:pPr>
              <w:keepNext w:val="0"/>
              <w:keepLines w:val="0"/>
              <w:pageBreakBefore w:val="0"/>
              <w:numPr>
                <w:ilvl w:val="0"/>
                <w:numId w:val="0"/>
              </w:numPr>
              <w:kinsoku/>
              <w:wordWrap/>
              <w:overflowPunct/>
              <w:topLinePunct w:val="0"/>
              <w:bidi w:val="0"/>
              <w:snapToGrid/>
              <w:spacing w:line="360" w:lineRule="exact"/>
              <w:ind w:right="0" w:rightChars="0"/>
              <w:textAlignment w:val="auto"/>
              <w:outlineLvl w:val="9"/>
              <w:rPr>
                <w:rFonts w:hint="eastAsia" w:ascii="宋体" w:hAnsi="宋体" w:eastAsia="宋体" w:cs="宋体"/>
                <w:b/>
                <w:bCs/>
                <w:i w:val="0"/>
                <w:iCs w:val="0"/>
                <w:color w:val="auto"/>
                <w:sz w:val="22"/>
                <w:szCs w:val="22"/>
                <w:highlight w:val="none"/>
                <w:u w:val="single"/>
              </w:rPr>
            </w:pPr>
            <w:r>
              <w:rPr>
                <w:rFonts w:hint="eastAsia" w:ascii="宋体" w:hAnsi="宋体" w:eastAsia="宋体" w:cs="宋体"/>
                <w:b/>
                <w:bCs/>
                <w:i w:val="0"/>
                <w:iCs w:val="0"/>
                <w:color w:val="auto"/>
                <w:sz w:val="22"/>
                <w:szCs w:val="22"/>
                <w:highlight w:val="none"/>
                <w:lang w:val="en-US" w:eastAsia="zh-CN" w:bidi="zh-CN"/>
              </w:rPr>
              <w:t>特殊约定：</w:t>
            </w:r>
          </w:p>
        </w:tc>
      </w:tr>
      <w:bookmarkEnd w:id="154"/>
      <w:tr w14:paraId="13097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14:paraId="38B84BAA">
            <w:pPr>
              <w:keepNext w:val="0"/>
              <w:keepLines w:val="0"/>
              <w:pageBreakBefore w:val="0"/>
              <w:numPr>
                <w:ilvl w:val="0"/>
                <w:numId w:val="0"/>
              </w:numPr>
              <w:kinsoku/>
              <w:wordWrap/>
              <w:overflowPunct/>
              <w:topLinePunct w:val="0"/>
              <w:bidi w:val="0"/>
              <w:snapToGrid/>
              <w:spacing w:line="360" w:lineRule="exact"/>
              <w:ind w:right="0" w:rightChars="0"/>
              <w:jc w:val="both"/>
              <w:textAlignment w:val="auto"/>
              <w:outlineLvl w:val="9"/>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en-US" w:eastAsia="zh-CN"/>
              </w:rPr>
              <w:t>1.7.1</w:t>
            </w:r>
            <w:r>
              <w:rPr>
                <w:rFonts w:hint="eastAsia" w:ascii="宋体" w:hAnsi="宋体" w:eastAsia="宋体" w:cs="宋体"/>
                <w:b/>
                <w:bCs/>
                <w:color w:val="auto"/>
                <w:sz w:val="22"/>
                <w:szCs w:val="22"/>
                <w:highlight w:val="none"/>
              </w:rPr>
              <w:t>交付时间</w:t>
            </w:r>
          </w:p>
        </w:tc>
        <w:tc>
          <w:tcPr>
            <w:tcW w:w="7733" w:type="dxa"/>
            <w:tcBorders>
              <w:top w:val="single" w:color="auto" w:sz="4" w:space="0"/>
              <w:left w:val="single" w:color="auto" w:sz="4" w:space="0"/>
              <w:bottom w:val="single" w:color="auto" w:sz="4" w:space="0"/>
              <w:right w:val="single" w:color="auto" w:sz="4" w:space="0"/>
            </w:tcBorders>
            <w:vAlign w:val="center"/>
          </w:tcPr>
          <w:p w14:paraId="0950881A">
            <w:pPr>
              <w:keepNext w:val="0"/>
              <w:keepLines w:val="0"/>
              <w:pageBreakBefore w:val="0"/>
              <w:numPr>
                <w:ilvl w:val="0"/>
                <w:numId w:val="0"/>
              </w:numPr>
              <w:kinsoku/>
              <w:wordWrap/>
              <w:overflowPunct/>
              <w:topLinePunct w:val="0"/>
              <w:bidi w:val="0"/>
              <w:snapToGrid/>
              <w:spacing w:line="360" w:lineRule="exact"/>
              <w:ind w:leftChars="200" w:right="0" w:rightChars="0"/>
              <w:jc w:val="left"/>
              <w:textAlignment w:val="auto"/>
              <w:outlineLvl w:val="9"/>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整体项目</w:t>
            </w:r>
            <w:r>
              <w:rPr>
                <w:rFonts w:hint="eastAsia" w:ascii="宋体" w:hAnsi="宋体" w:cs="宋体"/>
                <w:i w:val="0"/>
                <w:iCs w:val="0"/>
                <w:color w:val="auto"/>
                <w:sz w:val="22"/>
                <w:szCs w:val="22"/>
                <w:highlight w:val="none"/>
                <w:lang w:val="en-US" w:eastAsia="zh-CN"/>
              </w:rPr>
              <w:t>原则上</w:t>
            </w:r>
            <w:r>
              <w:rPr>
                <w:rFonts w:hint="eastAsia" w:ascii="宋体" w:hAnsi="宋体" w:eastAsia="宋体" w:cs="宋体"/>
                <w:i w:val="0"/>
                <w:iCs w:val="0"/>
                <w:color w:val="auto"/>
                <w:sz w:val="22"/>
                <w:szCs w:val="22"/>
                <w:highlight w:val="none"/>
              </w:rPr>
              <w:t>在合同签订后</w:t>
            </w:r>
            <w:r>
              <w:rPr>
                <w:rFonts w:hint="eastAsia" w:ascii="宋体" w:hAnsi="宋体" w:cs="宋体"/>
                <w:i w:val="0"/>
                <w:iCs w:val="0"/>
                <w:color w:val="auto"/>
                <w:sz w:val="22"/>
                <w:szCs w:val="22"/>
                <w:highlight w:val="none"/>
                <w:u w:val="single"/>
                <w:lang w:val="en-US" w:eastAsia="zh-CN"/>
              </w:rPr>
              <w:t>2025年12月5日</w:t>
            </w:r>
            <w:r>
              <w:rPr>
                <w:rFonts w:hint="eastAsia" w:ascii="宋体" w:hAnsi="宋体" w:cs="宋体"/>
                <w:i w:val="0"/>
                <w:iCs w:val="0"/>
                <w:color w:val="auto"/>
                <w:sz w:val="22"/>
                <w:szCs w:val="22"/>
                <w:highlight w:val="none"/>
                <w:lang w:val="en-US" w:eastAsia="zh-CN"/>
              </w:rPr>
              <w:t>前</w:t>
            </w:r>
            <w:r>
              <w:rPr>
                <w:rFonts w:hint="eastAsia" w:ascii="宋体" w:hAnsi="宋体" w:eastAsia="宋体" w:cs="宋体"/>
                <w:i w:val="0"/>
                <w:iCs w:val="0"/>
                <w:color w:val="auto"/>
                <w:sz w:val="22"/>
                <w:szCs w:val="22"/>
                <w:highlight w:val="none"/>
                <w:lang w:eastAsia="zh-CN"/>
              </w:rPr>
              <w:t>交付</w:t>
            </w:r>
            <w:r>
              <w:rPr>
                <w:rFonts w:hint="eastAsia" w:ascii="宋体" w:hAnsi="宋体" w:eastAsia="宋体" w:cs="宋体"/>
                <w:i w:val="0"/>
                <w:iCs w:val="0"/>
                <w:color w:val="auto"/>
                <w:sz w:val="22"/>
                <w:szCs w:val="22"/>
                <w:highlight w:val="none"/>
              </w:rPr>
              <w:t>。</w:t>
            </w:r>
          </w:p>
        </w:tc>
      </w:tr>
      <w:tr w14:paraId="20004C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14:paraId="616DCC37">
            <w:pPr>
              <w:keepNext w:val="0"/>
              <w:keepLines w:val="0"/>
              <w:pageBreakBefore w:val="0"/>
              <w:numPr>
                <w:ilvl w:val="0"/>
                <w:numId w:val="0"/>
              </w:numPr>
              <w:kinsoku/>
              <w:wordWrap/>
              <w:overflowPunct/>
              <w:topLinePunct w:val="0"/>
              <w:bidi w:val="0"/>
              <w:snapToGrid/>
              <w:spacing w:line="360" w:lineRule="exact"/>
              <w:ind w:right="0" w:rightChars="0"/>
              <w:jc w:val="both"/>
              <w:textAlignment w:val="auto"/>
              <w:outlineLvl w:val="9"/>
              <w:rPr>
                <w:rFonts w:hint="eastAsia" w:ascii="宋体" w:hAnsi="宋体" w:eastAsia="宋体" w:cs="宋体"/>
                <w:bCs/>
                <w:color w:val="auto"/>
                <w:sz w:val="22"/>
                <w:szCs w:val="22"/>
                <w:highlight w:val="none"/>
              </w:rPr>
            </w:pPr>
            <w:r>
              <w:rPr>
                <w:rFonts w:hint="eastAsia" w:ascii="宋体" w:hAnsi="宋体" w:eastAsia="宋体" w:cs="宋体"/>
                <w:b/>
                <w:bCs/>
                <w:color w:val="auto"/>
                <w:sz w:val="22"/>
                <w:szCs w:val="22"/>
                <w:highlight w:val="none"/>
                <w:lang w:val="en-US" w:eastAsia="zh-CN"/>
              </w:rPr>
              <w:t>1.7.2</w:t>
            </w:r>
            <w:r>
              <w:rPr>
                <w:rFonts w:hint="eastAsia" w:ascii="宋体" w:hAnsi="宋体" w:eastAsia="宋体" w:cs="宋体"/>
                <w:b/>
                <w:bCs/>
                <w:color w:val="auto"/>
                <w:sz w:val="22"/>
                <w:szCs w:val="22"/>
                <w:highlight w:val="none"/>
              </w:rPr>
              <w:t>交付地点</w:t>
            </w:r>
          </w:p>
        </w:tc>
        <w:tc>
          <w:tcPr>
            <w:tcW w:w="7733" w:type="dxa"/>
            <w:tcBorders>
              <w:top w:val="single" w:color="auto" w:sz="4" w:space="0"/>
              <w:left w:val="single" w:color="auto" w:sz="4" w:space="0"/>
              <w:bottom w:val="single" w:color="auto" w:sz="4" w:space="0"/>
              <w:right w:val="single" w:color="auto" w:sz="4" w:space="0"/>
            </w:tcBorders>
            <w:vAlign w:val="center"/>
          </w:tcPr>
          <w:p w14:paraId="0C9AA27E">
            <w:pPr>
              <w:pStyle w:val="15"/>
              <w:keepNext w:val="0"/>
              <w:keepLines w:val="0"/>
              <w:pageBreakBefore w:val="0"/>
              <w:numPr>
                <w:ilvl w:val="0"/>
                <w:numId w:val="0"/>
              </w:numPr>
              <w:kinsoku/>
              <w:wordWrap/>
              <w:overflowPunct/>
              <w:topLinePunct w:val="0"/>
              <w:bidi w:val="0"/>
              <w:snapToGrid/>
              <w:spacing w:line="360" w:lineRule="exact"/>
              <w:ind w:leftChars="200" w:right="0" w:rightChars="0"/>
              <w:textAlignment w:val="auto"/>
              <w:outlineLvl w:val="9"/>
              <w:rPr>
                <w:rFonts w:hint="eastAsia" w:ascii="宋体" w:hAnsi="宋体" w:eastAsia="宋体" w:cs="宋体"/>
                <w:bCs/>
                <w:i w:val="0"/>
                <w:iCs w:val="0"/>
                <w:color w:val="auto"/>
                <w:sz w:val="22"/>
                <w:szCs w:val="22"/>
                <w:highlight w:val="none"/>
              </w:rPr>
            </w:pPr>
            <w:r>
              <w:rPr>
                <w:rFonts w:hint="eastAsia" w:ascii="宋体" w:hAnsi="宋体" w:eastAsia="宋体" w:cs="宋体"/>
                <w:i w:val="0"/>
                <w:iCs w:val="0"/>
                <w:color w:val="auto"/>
                <w:sz w:val="22"/>
                <w:szCs w:val="22"/>
                <w:highlight w:val="none"/>
                <w:u w:val="single"/>
                <w:lang w:val="en-US" w:eastAsia="zh-CN"/>
              </w:rPr>
              <w:t>甲方指定地点：范围为哈萨克斯坦主要城市阿斯塔纳、阿拉木图的公办院校</w:t>
            </w:r>
          </w:p>
        </w:tc>
      </w:tr>
      <w:tr w14:paraId="316ED3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14:paraId="01C2C034">
            <w:pPr>
              <w:keepNext w:val="0"/>
              <w:keepLines w:val="0"/>
              <w:pageBreakBefore w:val="0"/>
              <w:numPr>
                <w:ilvl w:val="0"/>
                <w:numId w:val="0"/>
              </w:numPr>
              <w:kinsoku/>
              <w:wordWrap/>
              <w:overflowPunct/>
              <w:topLinePunct w:val="0"/>
              <w:bidi w:val="0"/>
              <w:snapToGrid/>
              <w:spacing w:line="360" w:lineRule="exact"/>
              <w:ind w:right="0" w:rightChars="0"/>
              <w:jc w:val="both"/>
              <w:textAlignment w:val="auto"/>
              <w:outlineLvl w:val="9"/>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1.7.3交付方式</w:t>
            </w:r>
          </w:p>
        </w:tc>
        <w:tc>
          <w:tcPr>
            <w:tcW w:w="7733" w:type="dxa"/>
            <w:tcBorders>
              <w:top w:val="single" w:color="auto" w:sz="4" w:space="0"/>
              <w:left w:val="single" w:color="auto" w:sz="4" w:space="0"/>
              <w:bottom w:val="single" w:color="auto" w:sz="4" w:space="0"/>
              <w:right w:val="single" w:color="auto" w:sz="4" w:space="0"/>
            </w:tcBorders>
            <w:vAlign w:val="center"/>
          </w:tcPr>
          <w:p w14:paraId="7F48FBD4">
            <w:pPr>
              <w:pStyle w:val="15"/>
              <w:keepNext w:val="0"/>
              <w:keepLines w:val="0"/>
              <w:pageBreakBefore w:val="0"/>
              <w:numPr>
                <w:ilvl w:val="0"/>
                <w:numId w:val="0"/>
              </w:numPr>
              <w:kinsoku/>
              <w:wordWrap/>
              <w:overflowPunct/>
              <w:topLinePunct w:val="0"/>
              <w:bidi w:val="0"/>
              <w:snapToGrid/>
              <w:spacing w:line="360" w:lineRule="exact"/>
              <w:ind w:leftChars="200" w:right="0" w:rightChars="0"/>
              <w:textAlignment w:val="auto"/>
              <w:outlineLvl w:val="9"/>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u w:val="single"/>
                <w:lang w:val="en-US" w:eastAsia="zh-CN"/>
              </w:rPr>
              <w:t>现场交付</w:t>
            </w:r>
          </w:p>
        </w:tc>
      </w:tr>
      <w:tr w14:paraId="51224F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0"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14:paraId="5630D977">
            <w:pPr>
              <w:keepNext w:val="0"/>
              <w:keepLines w:val="0"/>
              <w:pageBreakBefore w:val="0"/>
              <w:numPr>
                <w:ilvl w:val="0"/>
                <w:numId w:val="0"/>
              </w:numPr>
              <w:kinsoku/>
              <w:wordWrap/>
              <w:overflowPunct/>
              <w:topLinePunct w:val="0"/>
              <w:bidi w:val="0"/>
              <w:snapToGrid/>
              <w:spacing w:line="360" w:lineRule="exact"/>
              <w:ind w:right="0" w:rightChars="0"/>
              <w:jc w:val="both"/>
              <w:textAlignment w:val="auto"/>
              <w:outlineLvl w:val="9"/>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1.8.7违约责任</w:t>
            </w:r>
          </w:p>
        </w:tc>
        <w:tc>
          <w:tcPr>
            <w:tcW w:w="7733" w:type="dxa"/>
            <w:tcBorders>
              <w:top w:val="single" w:color="auto" w:sz="4" w:space="0"/>
              <w:left w:val="single" w:color="auto" w:sz="4" w:space="0"/>
              <w:bottom w:val="single" w:color="auto" w:sz="4" w:space="0"/>
              <w:right w:val="single" w:color="auto" w:sz="4" w:space="0"/>
            </w:tcBorders>
            <w:vAlign w:val="center"/>
          </w:tcPr>
          <w:p w14:paraId="1D9885D0">
            <w:pPr>
              <w:keepNext w:val="0"/>
              <w:keepLines w:val="0"/>
              <w:pageBreakBefore w:val="0"/>
              <w:numPr>
                <w:ilvl w:val="0"/>
                <w:numId w:val="0"/>
              </w:numPr>
              <w:kinsoku/>
              <w:wordWrap/>
              <w:overflowPunct/>
              <w:topLinePunct w:val="0"/>
              <w:autoSpaceDE w:val="0"/>
              <w:autoSpaceDN w:val="0"/>
              <w:bidi w:val="0"/>
              <w:snapToGrid/>
              <w:spacing w:line="360" w:lineRule="exact"/>
              <w:ind w:left="0" w:right="0" w:rightChars="0" w:firstLine="472"/>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除不可抗力外，如乙方发生不能按期交货或提供服务、甲方发生中途退货等情况，应及时通知对方。双方本着友好的态度进行协商，妥善解决。如协商无效，按以下</w:t>
            </w:r>
            <w:bookmarkStart w:id="156" w:name="_Hlk144213533"/>
            <w:r>
              <w:rPr>
                <w:rFonts w:hint="eastAsia" w:ascii="宋体" w:hAnsi="宋体" w:eastAsia="宋体" w:cs="宋体"/>
                <w:color w:val="auto"/>
                <w:sz w:val="22"/>
                <w:szCs w:val="22"/>
                <w:highlight w:val="none"/>
              </w:rPr>
              <w:t>约定承担违约责任：</w:t>
            </w:r>
          </w:p>
          <w:bookmarkEnd w:id="156"/>
          <w:p w14:paraId="78132539">
            <w:pPr>
              <w:keepNext w:val="0"/>
              <w:keepLines w:val="0"/>
              <w:pageBreakBefore w:val="0"/>
              <w:numPr>
                <w:ilvl w:val="0"/>
                <w:numId w:val="0"/>
              </w:numPr>
              <w:kinsoku/>
              <w:wordWrap/>
              <w:overflowPunct/>
              <w:topLinePunct w:val="0"/>
              <w:autoSpaceDE w:val="0"/>
              <w:autoSpaceDN w:val="0"/>
              <w:bidi w:val="0"/>
              <w:snapToGrid/>
              <w:spacing w:line="360" w:lineRule="exact"/>
              <w:ind w:left="0" w:right="0" w:rightChars="0" w:firstLine="442" w:firstLineChars="200"/>
              <w:textAlignment w:val="auto"/>
              <w:outlineLvl w:val="9"/>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 xml:space="preserve"> </w:t>
            </w:r>
            <w:r>
              <w:rPr>
                <w:rFonts w:hint="eastAsia" w:ascii="宋体" w:hAnsi="宋体" w:eastAsia="宋体" w:cs="宋体"/>
                <w:b/>
                <w:bCs/>
                <w:color w:val="auto"/>
                <w:sz w:val="22"/>
                <w:szCs w:val="22"/>
                <w:highlight w:val="none"/>
              </w:rPr>
              <w:t>逾期</w:t>
            </w:r>
            <w:r>
              <w:rPr>
                <w:rFonts w:hint="eastAsia" w:ascii="宋体" w:hAnsi="宋体" w:eastAsia="宋体" w:cs="宋体"/>
                <w:b/>
                <w:bCs/>
                <w:color w:val="auto"/>
                <w:sz w:val="22"/>
                <w:szCs w:val="22"/>
                <w:highlight w:val="none"/>
                <w:lang w:val="en-US" w:eastAsia="zh-CN"/>
              </w:rPr>
              <w:t>提供服务</w:t>
            </w:r>
          </w:p>
          <w:p w14:paraId="7F736ECB">
            <w:pPr>
              <w:keepNext w:val="0"/>
              <w:keepLines w:val="0"/>
              <w:pageBreakBefore w:val="0"/>
              <w:numPr>
                <w:ilvl w:val="0"/>
                <w:numId w:val="0"/>
              </w:numPr>
              <w:kinsoku/>
              <w:wordWrap/>
              <w:overflowPunct/>
              <w:topLinePunct w:val="0"/>
              <w:autoSpaceDE w:val="0"/>
              <w:autoSpaceDN w:val="0"/>
              <w:bidi w:val="0"/>
              <w:snapToGrid/>
              <w:spacing w:line="360" w:lineRule="exact"/>
              <w:ind w:left="0" w:right="0" w:rightChars="0"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乙方逾期</w:t>
            </w:r>
            <w:r>
              <w:rPr>
                <w:rFonts w:hint="eastAsia" w:ascii="宋体" w:hAnsi="宋体" w:eastAsia="宋体" w:cs="宋体"/>
                <w:color w:val="auto"/>
                <w:sz w:val="22"/>
                <w:szCs w:val="22"/>
                <w:highlight w:val="none"/>
                <w:lang w:eastAsia="zh-CN"/>
              </w:rPr>
              <w:t>提供服务</w:t>
            </w:r>
            <w:r>
              <w:rPr>
                <w:rFonts w:hint="eastAsia" w:ascii="宋体" w:hAnsi="宋体" w:eastAsia="宋体" w:cs="宋体"/>
                <w:color w:val="auto"/>
                <w:sz w:val="22"/>
                <w:szCs w:val="22"/>
                <w:highlight w:val="none"/>
              </w:rPr>
              <w:t>，应向甲方支付违约金。自逾期之日起，每逾期一日违约金按合同总价的</w:t>
            </w:r>
            <w:r>
              <w:rPr>
                <w:rFonts w:hint="eastAsia" w:ascii="宋体" w:hAnsi="宋体" w:eastAsia="宋体" w:cs="宋体"/>
                <w:color w:val="auto"/>
                <w:sz w:val="22"/>
                <w:szCs w:val="22"/>
                <w:highlight w:val="none"/>
                <w:u w:val="single"/>
              </w:rPr>
              <w:t>0.2</w:t>
            </w:r>
            <w:r>
              <w:rPr>
                <w:rFonts w:hint="eastAsia" w:ascii="宋体" w:hAnsi="宋体" w:eastAsia="宋体" w:cs="宋体"/>
                <w:color w:val="auto"/>
                <w:sz w:val="22"/>
                <w:szCs w:val="22"/>
                <w:highlight w:val="none"/>
              </w:rPr>
              <w:t>%计收，逾期违约金最高限额为合同总价的</w:t>
            </w:r>
            <w:r>
              <w:rPr>
                <w:rFonts w:hint="eastAsia" w:ascii="宋体" w:hAnsi="宋体" w:eastAsia="宋体" w:cs="宋体"/>
                <w:color w:val="auto"/>
                <w:sz w:val="22"/>
                <w:szCs w:val="22"/>
                <w:highlight w:val="none"/>
                <w:u w:val="single"/>
              </w:rPr>
              <w:t>2.5</w:t>
            </w:r>
            <w:r>
              <w:rPr>
                <w:rFonts w:hint="eastAsia" w:ascii="宋体" w:hAnsi="宋体" w:eastAsia="宋体" w:cs="宋体"/>
                <w:color w:val="auto"/>
                <w:sz w:val="22"/>
                <w:szCs w:val="22"/>
                <w:highlight w:val="none"/>
              </w:rPr>
              <w:t>%。甲方有权从履约保证金中直接扣除违约金，不足部分直接从</w:t>
            </w:r>
            <w:r>
              <w:rPr>
                <w:rFonts w:hint="eastAsia" w:ascii="宋体" w:hAnsi="宋体" w:eastAsia="宋体" w:cs="宋体"/>
                <w:color w:val="auto"/>
                <w:sz w:val="22"/>
                <w:szCs w:val="22"/>
                <w:highlight w:val="none"/>
                <w:lang w:val="en-US" w:eastAsia="zh-CN"/>
              </w:rPr>
              <w:t>服务</w:t>
            </w:r>
            <w:r>
              <w:rPr>
                <w:rFonts w:hint="eastAsia" w:ascii="宋体" w:hAnsi="宋体" w:eastAsia="宋体" w:cs="宋体"/>
                <w:color w:val="auto"/>
                <w:sz w:val="22"/>
                <w:szCs w:val="22"/>
                <w:highlight w:val="none"/>
              </w:rPr>
              <w:t>款中抵扣。如违约金达到最高限额时乙方仍不能</w:t>
            </w:r>
            <w:r>
              <w:rPr>
                <w:rFonts w:hint="eastAsia" w:ascii="宋体" w:hAnsi="宋体" w:eastAsia="宋体" w:cs="宋体"/>
                <w:color w:val="auto"/>
                <w:sz w:val="22"/>
                <w:szCs w:val="22"/>
                <w:highlight w:val="none"/>
                <w:lang w:eastAsia="zh-CN"/>
              </w:rPr>
              <w:t>提供服务</w:t>
            </w:r>
            <w:r>
              <w:rPr>
                <w:rFonts w:hint="eastAsia" w:ascii="宋体" w:hAnsi="宋体" w:eastAsia="宋体" w:cs="宋体"/>
                <w:color w:val="auto"/>
                <w:sz w:val="22"/>
                <w:szCs w:val="22"/>
                <w:highlight w:val="none"/>
              </w:rPr>
              <w:t>，甲方有权解除合同并按乙方不能</w:t>
            </w:r>
            <w:r>
              <w:rPr>
                <w:rFonts w:hint="eastAsia" w:ascii="宋体" w:hAnsi="宋体" w:eastAsia="宋体" w:cs="宋体"/>
                <w:color w:val="auto"/>
                <w:sz w:val="22"/>
                <w:szCs w:val="22"/>
                <w:highlight w:val="none"/>
                <w:lang w:eastAsia="zh-CN"/>
              </w:rPr>
              <w:t>提供服务</w:t>
            </w:r>
            <w:r>
              <w:rPr>
                <w:rFonts w:hint="eastAsia" w:ascii="宋体" w:hAnsi="宋体" w:eastAsia="宋体" w:cs="宋体"/>
                <w:color w:val="auto"/>
                <w:sz w:val="22"/>
                <w:szCs w:val="22"/>
                <w:highlight w:val="none"/>
              </w:rPr>
              <w:t>的违约条款执行。</w:t>
            </w:r>
          </w:p>
          <w:p w14:paraId="01A5674C">
            <w:pPr>
              <w:keepNext w:val="0"/>
              <w:keepLines w:val="0"/>
              <w:pageBreakBefore w:val="0"/>
              <w:numPr>
                <w:ilvl w:val="0"/>
                <w:numId w:val="0"/>
              </w:numPr>
              <w:kinsoku/>
              <w:wordWrap/>
              <w:overflowPunct/>
              <w:topLinePunct w:val="0"/>
              <w:autoSpaceDE w:val="0"/>
              <w:autoSpaceDN w:val="0"/>
              <w:bidi w:val="0"/>
              <w:snapToGrid/>
              <w:spacing w:line="360" w:lineRule="exact"/>
              <w:ind w:left="0" w:right="0" w:rightChars="0" w:firstLine="442" w:firstLineChars="200"/>
              <w:textAlignment w:val="auto"/>
              <w:outlineLvl w:val="9"/>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 xml:space="preserve"> </w:t>
            </w:r>
            <w:r>
              <w:rPr>
                <w:rFonts w:hint="eastAsia" w:ascii="宋体" w:hAnsi="宋体" w:eastAsia="宋体" w:cs="宋体"/>
                <w:b/>
                <w:bCs/>
                <w:color w:val="auto"/>
                <w:sz w:val="22"/>
                <w:szCs w:val="22"/>
                <w:highlight w:val="none"/>
              </w:rPr>
              <w:t>乙方不能</w:t>
            </w:r>
            <w:r>
              <w:rPr>
                <w:rFonts w:hint="eastAsia" w:ascii="宋体" w:hAnsi="宋体" w:eastAsia="宋体" w:cs="宋体"/>
                <w:b/>
                <w:bCs/>
                <w:color w:val="auto"/>
                <w:sz w:val="22"/>
                <w:szCs w:val="22"/>
                <w:highlight w:val="none"/>
                <w:lang w:eastAsia="zh-CN"/>
              </w:rPr>
              <w:t>提供服务</w:t>
            </w:r>
            <w:r>
              <w:rPr>
                <w:rFonts w:hint="eastAsia" w:ascii="宋体" w:hAnsi="宋体" w:eastAsia="宋体" w:cs="宋体"/>
                <w:b/>
                <w:bCs/>
                <w:color w:val="auto"/>
                <w:sz w:val="22"/>
                <w:szCs w:val="22"/>
                <w:highlight w:val="none"/>
              </w:rPr>
              <w:t>或甲方中途</w:t>
            </w:r>
            <w:r>
              <w:rPr>
                <w:rFonts w:hint="eastAsia" w:ascii="宋体" w:hAnsi="宋体" w:eastAsia="宋体" w:cs="宋体"/>
                <w:b/>
                <w:bCs/>
                <w:color w:val="auto"/>
                <w:sz w:val="22"/>
                <w:szCs w:val="22"/>
                <w:highlight w:val="none"/>
                <w:lang w:val="en-US" w:eastAsia="zh-CN"/>
              </w:rPr>
              <w:t>终止需求</w:t>
            </w:r>
          </w:p>
          <w:p w14:paraId="3A8BE249">
            <w:pPr>
              <w:keepNext w:val="0"/>
              <w:keepLines w:val="0"/>
              <w:pageBreakBefore w:val="0"/>
              <w:numPr>
                <w:ilvl w:val="0"/>
                <w:numId w:val="0"/>
              </w:numPr>
              <w:kinsoku/>
              <w:wordWrap/>
              <w:overflowPunct/>
              <w:topLinePunct w:val="0"/>
              <w:autoSpaceDE w:val="0"/>
              <w:autoSpaceDN w:val="0"/>
              <w:bidi w:val="0"/>
              <w:snapToGrid/>
              <w:spacing w:line="360" w:lineRule="exact"/>
              <w:ind w:left="0" w:right="0" w:rightChars="0" w:firstLine="440" w:firstLineChars="200"/>
              <w:textAlignment w:val="auto"/>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乙方不能</w:t>
            </w:r>
            <w:r>
              <w:rPr>
                <w:rFonts w:hint="eastAsia" w:ascii="宋体" w:hAnsi="宋体" w:eastAsia="宋体" w:cs="宋体"/>
                <w:color w:val="auto"/>
                <w:sz w:val="22"/>
                <w:szCs w:val="22"/>
                <w:highlight w:val="none"/>
                <w:lang w:eastAsia="zh-CN"/>
              </w:rPr>
              <w:t>提供服务</w:t>
            </w:r>
            <w:r>
              <w:rPr>
                <w:rFonts w:hint="eastAsia" w:ascii="宋体" w:hAnsi="宋体" w:eastAsia="宋体" w:cs="宋体"/>
                <w:color w:val="auto"/>
                <w:sz w:val="22"/>
                <w:szCs w:val="22"/>
                <w:highlight w:val="none"/>
              </w:rPr>
              <w:t>，甲方有权没收履约保证金</w:t>
            </w:r>
            <w:r>
              <w:rPr>
                <w:rFonts w:hint="eastAsia" w:ascii="宋体" w:hAnsi="宋体" w:eastAsia="宋体" w:cs="宋体"/>
                <w:color w:val="auto"/>
                <w:sz w:val="22"/>
                <w:szCs w:val="22"/>
                <w:highlight w:val="none"/>
                <w:lang w:val="en-US" w:eastAsia="zh-CN"/>
              </w:rPr>
              <w:t>并收回之前已付款项，如个别不能提供服务，则双方协商根据分项价格进行金额核减</w:t>
            </w:r>
            <w:r>
              <w:rPr>
                <w:rFonts w:hint="eastAsia" w:ascii="宋体" w:hAnsi="宋体" w:eastAsia="宋体" w:cs="宋体"/>
                <w:color w:val="auto"/>
                <w:sz w:val="22"/>
                <w:szCs w:val="22"/>
                <w:highlight w:val="none"/>
              </w:rPr>
              <w:t>。</w:t>
            </w:r>
          </w:p>
          <w:p w14:paraId="7BE229DD">
            <w:pPr>
              <w:keepNext w:val="0"/>
              <w:keepLines w:val="0"/>
              <w:pageBreakBefore w:val="0"/>
              <w:numPr>
                <w:ilvl w:val="0"/>
                <w:numId w:val="0"/>
              </w:numPr>
              <w:kinsoku/>
              <w:wordWrap/>
              <w:overflowPunct/>
              <w:topLinePunct w:val="0"/>
              <w:autoSpaceDE w:val="0"/>
              <w:autoSpaceDN w:val="0"/>
              <w:bidi w:val="0"/>
              <w:snapToGrid/>
              <w:spacing w:line="360" w:lineRule="exact"/>
              <w:ind w:left="0" w:right="0" w:rightChars="0"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甲方无理由中途退货，退还履约保证金，之前已付款项退回事宜双方另行约定。</w:t>
            </w:r>
          </w:p>
        </w:tc>
      </w:tr>
      <w:tr w14:paraId="42B04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14:paraId="038C23C9">
            <w:pPr>
              <w:keepNext w:val="0"/>
              <w:keepLines w:val="0"/>
              <w:pageBreakBefore w:val="0"/>
              <w:numPr>
                <w:ilvl w:val="0"/>
                <w:numId w:val="0"/>
              </w:numPr>
              <w:kinsoku/>
              <w:wordWrap/>
              <w:overflowPunct/>
              <w:topLinePunct w:val="0"/>
              <w:bidi w:val="0"/>
              <w:snapToGrid/>
              <w:spacing w:line="360" w:lineRule="exact"/>
              <w:ind w:right="0" w:rightChars="0"/>
              <w:jc w:val="both"/>
              <w:textAlignment w:val="auto"/>
              <w:outlineLvl w:val="9"/>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2.3.2科技成果和收益分成</w:t>
            </w:r>
          </w:p>
        </w:tc>
        <w:tc>
          <w:tcPr>
            <w:tcW w:w="7733" w:type="dxa"/>
            <w:tcBorders>
              <w:top w:val="single" w:color="auto" w:sz="4" w:space="0"/>
              <w:left w:val="single" w:color="auto" w:sz="4" w:space="0"/>
              <w:bottom w:val="single" w:color="auto" w:sz="4" w:space="0"/>
              <w:right w:val="single" w:color="auto" w:sz="4" w:space="0"/>
            </w:tcBorders>
            <w:vAlign w:val="center"/>
          </w:tcPr>
          <w:p w14:paraId="71E50820">
            <w:pPr>
              <w:pStyle w:val="15"/>
              <w:keepNext w:val="0"/>
              <w:keepLines w:val="0"/>
              <w:pageBreakBefore w:val="0"/>
              <w:numPr>
                <w:ilvl w:val="0"/>
                <w:numId w:val="0"/>
              </w:numPr>
              <w:kinsoku/>
              <w:wordWrap/>
              <w:overflowPunct/>
              <w:topLinePunct w:val="0"/>
              <w:bidi w:val="0"/>
              <w:snapToGrid/>
              <w:spacing w:line="360" w:lineRule="exact"/>
              <w:ind w:leftChars="200" w:right="0" w:rightChars="0"/>
              <w:textAlignment w:val="auto"/>
              <w:outlineLvl w:val="9"/>
              <w:rPr>
                <w:rFonts w:hint="default"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u w:val="single"/>
                <w:lang w:val="en-US" w:eastAsia="zh-CN"/>
              </w:rPr>
              <w:t>根据双方约定为准</w:t>
            </w:r>
          </w:p>
        </w:tc>
      </w:tr>
      <w:tr w14:paraId="798406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14:paraId="5DCCAA14">
            <w:pPr>
              <w:keepNext w:val="0"/>
              <w:keepLines w:val="0"/>
              <w:pageBreakBefore w:val="0"/>
              <w:numPr>
                <w:ilvl w:val="0"/>
                <w:numId w:val="0"/>
              </w:numPr>
              <w:kinsoku/>
              <w:wordWrap/>
              <w:overflowPunct/>
              <w:topLinePunct w:val="0"/>
              <w:bidi w:val="0"/>
              <w:snapToGrid/>
              <w:spacing w:line="360" w:lineRule="exact"/>
              <w:ind w:right="0" w:rightChars="0"/>
              <w:jc w:val="both"/>
              <w:textAlignment w:val="auto"/>
              <w:outlineLvl w:val="9"/>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2.7.1质保期</w:t>
            </w:r>
          </w:p>
        </w:tc>
        <w:tc>
          <w:tcPr>
            <w:tcW w:w="7733" w:type="dxa"/>
            <w:tcBorders>
              <w:top w:val="single" w:color="auto" w:sz="4" w:space="0"/>
              <w:left w:val="single" w:color="auto" w:sz="4" w:space="0"/>
              <w:bottom w:val="single" w:color="auto" w:sz="4" w:space="0"/>
              <w:right w:val="single" w:color="auto" w:sz="4" w:space="0"/>
            </w:tcBorders>
            <w:vAlign w:val="center"/>
          </w:tcPr>
          <w:p w14:paraId="59583657">
            <w:pPr>
              <w:pStyle w:val="15"/>
              <w:keepNext w:val="0"/>
              <w:keepLines w:val="0"/>
              <w:pageBreakBefore w:val="0"/>
              <w:numPr>
                <w:ilvl w:val="0"/>
                <w:numId w:val="0"/>
              </w:numPr>
              <w:kinsoku/>
              <w:wordWrap/>
              <w:overflowPunct/>
              <w:topLinePunct w:val="0"/>
              <w:bidi w:val="0"/>
              <w:snapToGrid/>
              <w:spacing w:line="360" w:lineRule="exact"/>
              <w:ind w:leftChars="0" w:right="0" w:rightChars="0" w:firstLine="0" w:firstLineChars="0"/>
              <w:textAlignment w:val="auto"/>
              <w:outlineLvl w:val="9"/>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kern w:val="2"/>
                <w:sz w:val="22"/>
                <w:szCs w:val="22"/>
                <w:highlight w:val="none"/>
                <w:u w:val="single"/>
                <w:lang w:val="en-US" w:eastAsia="zh-CN" w:bidi="ar-SA"/>
              </w:rPr>
              <w:t xml:space="preserve"> /年</w:t>
            </w:r>
          </w:p>
        </w:tc>
      </w:tr>
      <w:tr w14:paraId="1E9AB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14:paraId="716BB015">
            <w:pPr>
              <w:keepNext w:val="0"/>
              <w:keepLines w:val="0"/>
              <w:pageBreakBefore w:val="0"/>
              <w:numPr>
                <w:ilvl w:val="0"/>
                <w:numId w:val="0"/>
              </w:numPr>
              <w:kinsoku/>
              <w:wordWrap/>
              <w:overflowPunct/>
              <w:topLinePunct w:val="0"/>
              <w:bidi w:val="0"/>
              <w:snapToGrid/>
              <w:spacing w:line="360" w:lineRule="exact"/>
              <w:ind w:right="0" w:rightChars="0"/>
              <w:jc w:val="both"/>
              <w:textAlignment w:val="auto"/>
              <w:outlineLvl w:val="9"/>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2.7.3售后服务要求</w:t>
            </w:r>
          </w:p>
        </w:tc>
        <w:tc>
          <w:tcPr>
            <w:tcW w:w="7733" w:type="dxa"/>
            <w:tcBorders>
              <w:top w:val="single" w:color="auto" w:sz="4" w:space="0"/>
              <w:left w:val="single" w:color="auto" w:sz="4" w:space="0"/>
              <w:bottom w:val="single" w:color="auto" w:sz="4" w:space="0"/>
              <w:right w:val="single" w:color="auto" w:sz="4" w:space="0"/>
            </w:tcBorders>
            <w:vAlign w:val="center"/>
          </w:tcPr>
          <w:p w14:paraId="7CFC0276">
            <w:pPr>
              <w:pStyle w:val="15"/>
              <w:keepNext w:val="0"/>
              <w:keepLines w:val="0"/>
              <w:pageBreakBefore w:val="0"/>
              <w:numPr>
                <w:ilvl w:val="0"/>
                <w:numId w:val="0"/>
              </w:numPr>
              <w:kinsoku/>
              <w:wordWrap/>
              <w:overflowPunct/>
              <w:topLinePunct w:val="0"/>
              <w:bidi w:val="0"/>
              <w:snapToGrid/>
              <w:spacing w:line="360" w:lineRule="exact"/>
              <w:ind w:right="0" w:rightChars="0"/>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在质保期内，乙方提供24小时售后服务。出现故障后，乙方接到甲方通知应在</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小时内做出响应，若线上远程无法解决的，乙方工作人员应于</w:t>
            </w:r>
            <w:r>
              <w:rPr>
                <w:rFonts w:hint="eastAsia" w:ascii="宋体" w:hAnsi="宋体" w:eastAsia="宋体" w:cs="宋体"/>
                <w:color w:val="auto"/>
                <w:sz w:val="22"/>
                <w:szCs w:val="22"/>
                <w:highlight w:val="none"/>
                <w:u w:val="single"/>
                <w:lang w:val="en-US" w:eastAsia="zh-CN"/>
              </w:rPr>
              <w:t xml:space="preserve"> 1 </w:t>
            </w:r>
            <w:r>
              <w:rPr>
                <w:rFonts w:hint="eastAsia" w:ascii="宋体" w:hAnsi="宋体" w:eastAsia="宋体" w:cs="宋体"/>
                <w:color w:val="auto"/>
                <w:sz w:val="22"/>
                <w:szCs w:val="22"/>
                <w:highlight w:val="none"/>
                <w:lang w:val="en-US" w:eastAsia="zh-CN"/>
              </w:rPr>
              <w:t>小时（外地24小时）内赴现场实施维修维护，处理存在问题，提供不间断的服务直到恢复为止。</w:t>
            </w:r>
          </w:p>
        </w:tc>
      </w:tr>
      <w:tr w14:paraId="21570A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40"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14:paraId="089F69DD">
            <w:pPr>
              <w:keepNext w:val="0"/>
              <w:keepLines w:val="0"/>
              <w:pageBreakBefore w:val="0"/>
              <w:numPr>
                <w:ilvl w:val="0"/>
                <w:numId w:val="0"/>
              </w:numPr>
              <w:kinsoku/>
              <w:wordWrap/>
              <w:overflowPunct/>
              <w:topLinePunct w:val="0"/>
              <w:bidi w:val="0"/>
              <w:snapToGrid/>
              <w:spacing w:line="360" w:lineRule="exact"/>
              <w:ind w:right="0" w:rightChars="0"/>
              <w:jc w:val="both"/>
              <w:textAlignment w:val="auto"/>
              <w:outlineLvl w:val="9"/>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2.15</w:t>
            </w:r>
            <w:r>
              <w:rPr>
                <w:rFonts w:hint="eastAsia" w:ascii="宋体" w:hAnsi="宋体" w:eastAsia="宋体" w:cs="宋体"/>
                <w:b/>
                <w:color w:val="auto"/>
                <w:sz w:val="22"/>
                <w:szCs w:val="22"/>
                <w:highlight w:val="none"/>
              </w:rPr>
              <w:t>检验和验收</w:t>
            </w:r>
          </w:p>
        </w:tc>
        <w:tc>
          <w:tcPr>
            <w:tcW w:w="7733" w:type="dxa"/>
            <w:tcBorders>
              <w:top w:val="single" w:color="auto" w:sz="4" w:space="0"/>
              <w:left w:val="single" w:color="auto" w:sz="4" w:space="0"/>
              <w:bottom w:val="single" w:color="auto" w:sz="4" w:space="0"/>
              <w:right w:val="single" w:color="auto" w:sz="4" w:space="0"/>
            </w:tcBorders>
            <w:vAlign w:val="center"/>
          </w:tcPr>
          <w:p w14:paraId="7B47D96F">
            <w:pPr>
              <w:pStyle w:val="15"/>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leftChars="0" w:right="0" w:rightChars="0" w:firstLine="440" w:firstLineChars="200"/>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bidi="zh-CN"/>
              </w:rPr>
              <w:t>合同履约验收参照温州市政府采购履约验收办法及浙江安防职业技术学院验收相关规定执行。合同履约达到验收条件时，乙方向甲方书面发起验收申请，甲方或者其委托的采购代理机构在收到乙方验收申请后五个工作日内启动项目验收。按照采购合同、响应文件、采购文件等约定的质量、数量、技术指标或者服务要求设定验收指标及其标准。未约定的，应当符合国家强制性规定、政策要求、安全标准、行业或企业有关标准等。如需委托代理机构</w:t>
            </w:r>
            <w:r>
              <w:rPr>
                <w:rFonts w:hint="eastAsia" w:ascii="宋体" w:hAnsi="宋体" w:eastAsia="宋体" w:cs="宋体"/>
                <w:color w:val="auto"/>
                <w:kern w:val="0"/>
                <w:sz w:val="22"/>
                <w:szCs w:val="22"/>
                <w:highlight w:val="none"/>
                <w:u w:val="none"/>
                <w:lang w:val="en-US" w:eastAsia="zh-CN" w:bidi="zh-CN"/>
              </w:rPr>
              <w:t>组织履约验收，费用根据招标文件执行。</w:t>
            </w:r>
          </w:p>
        </w:tc>
      </w:tr>
      <w:bookmarkEnd w:id="155"/>
    </w:tbl>
    <w:p w14:paraId="0E5391A8">
      <w:pPr>
        <w:ind w:firstLine="640"/>
        <w:outlineLvl w:val="9"/>
        <w:rPr>
          <w:color w:val="auto"/>
          <w:highlight w:val="none"/>
        </w:rPr>
      </w:pPr>
    </w:p>
    <w:p w14:paraId="02ECEA7F">
      <w:pPr>
        <w:jc w:val="center"/>
        <w:rPr>
          <w:rFonts w:ascii="黑体" w:hAnsi="黑体" w:eastAsia="黑体"/>
          <w:color w:val="auto"/>
          <w:sz w:val="22"/>
          <w:szCs w:val="22"/>
          <w:highlight w:val="none"/>
        </w:rPr>
      </w:pPr>
    </w:p>
    <w:p w14:paraId="27EE24A2">
      <w:pPr>
        <w:jc w:val="center"/>
        <w:rPr>
          <w:rFonts w:ascii="黑体" w:hAnsi="黑体" w:eastAsia="黑体"/>
          <w:color w:val="auto"/>
          <w:sz w:val="28"/>
          <w:szCs w:val="28"/>
          <w:highlight w:val="none"/>
        </w:rPr>
      </w:pPr>
    </w:p>
    <w:p w14:paraId="0C3E016D">
      <w:pPr>
        <w:jc w:val="center"/>
        <w:rPr>
          <w:rFonts w:hAnsi="宋体" w:cs="宋体"/>
          <w:b/>
          <w:bCs/>
          <w:color w:val="auto"/>
          <w:sz w:val="28"/>
          <w:szCs w:val="28"/>
          <w:highlight w:val="none"/>
        </w:rPr>
      </w:pPr>
    </w:p>
    <w:p w14:paraId="2BC9A92E">
      <w:pPr>
        <w:spacing w:line="430" w:lineRule="exact"/>
        <w:jc w:val="center"/>
        <w:outlineLvl w:val="0"/>
        <w:rPr>
          <w:rFonts w:ascii="黑体" w:hAnsi="黑体" w:eastAsia="黑体"/>
          <w:bCs/>
          <w:color w:val="auto"/>
          <w:sz w:val="36"/>
          <w:szCs w:val="36"/>
          <w:highlight w:val="none"/>
        </w:rPr>
      </w:pPr>
      <w:r>
        <w:rPr>
          <w:rFonts w:hint="eastAsia" w:hAnsi="宋体" w:cs="宋体"/>
          <w:bCs/>
          <w:color w:val="auto"/>
          <w:sz w:val="28"/>
          <w:szCs w:val="28"/>
          <w:highlight w:val="none"/>
        </w:rPr>
        <w:br w:type="page"/>
      </w:r>
      <w:bookmarkEnd w:id="55"/>
      <w:bookmarkStart w:id="157" w:name="_Toc14624"/>
      <w:r>
        <w:rPr>
          <w:rFonts w:hint="eastAsia" w:ascii="黑体" w:hAnsi="黑体" w:eastAsia="黑体"/>
          <w:b/>
          <w:bCs/>
          <w:color w:val="auto"/>
          <w:kern w:val="44"/>
          <w:sz w:val="36"/>
          <w:szCs w:val="36"/>
          <w:highlight w:val="none"/>
        </w:rPr>
        <w:t>第四部分  附   件</w:t>
      </w:r>
      <w:bookmarkEnd w:id="56"/>
      <w:bookmarkEnd w:id="157"/>
    </w:p>
    <w:p w14:paraId="59727AFD">
      <w:pPr>
        <w:pStyle w:val="3"/>
        <w:spacing w:line="240" w:lineRule="auto"/>
        <w:rPr>
          <w:rFonts w:ascii="宋体" w:hAnsi="宋体" w:eastAsia="宋体" w:cs="宋体"/>
          <w:color w:val="auto"/>
          <w:sz w:val="24"/>
          <w:szCs w:val="24"/>
          <w:highlight w:val="none"/>
        </w:rPr>
      </w:pPr>
      <w:bookmarkStart w:id="158" w:name="_Toc230773784"/>
      <w:bookmarkStart w:id="159" w:name="_Toc15226"/>
      <w:r>
        <w:rPr>
          <w:rFonts w:hint="eastAsia" w:ascii="宋体" w:hAnsi="宋体" w:eastAsia="宋体" w:cs="宋体"/>
          <w:color w:val="auto"/>
          <w:sz w:val="24"/>
          <w:szCs w:val="24"/>
          <w:highlight w:val="none"/>
        </w:rPr>
        <w:t>附件一 投标函</w:t>
      </w:r>
      <w:bookmarkEnd w:id="158"/>
      <w:bookmarkEnd w:id="159"/>
    </w:p>
    <w:p w14:paraId="4567A92B">
      <w:pPr>
        <w:spacing w:line="46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投 标 函</w:t>
      </w:r>
    </w:p>
    <w:p w14:paraId="7F61421E">
      <w:pPr>
        <w:spacing w:line="440" w:lineRule="exact"/>
        <w:rPr>
          <w:rFonts w:ascii="宋体" w:hAnsi="宋体" w:cs="宋体"/>
          <w:b/>
          <w:color w:val="auto"/>
          <w:sz w:val="24"/>
          <w:highlight w:val="none"/>
          <w:u w:val="single"/>
        </w:rPr>
      </w:pPr>
      <w:r>
        <w:rPr>
          <w:rFonts w:hint="eastAsia" w:ascii="宋体" w:hAnsi="宋体" w:cs="宋体"/>
          <w:b/>
          <w:color w:val="auto"/>
          <w:sz w:val="24"/>
          <w:highlight w:val="none"/>
        </w:rPr>
        <w:t>致：</w:t>
      </w:r>
      <w:r>
        <w:rPr>
          <w:rFonts w:hint="eastAsia" w:ascii="宋体" w:hAnsi="宋体" w:cs="宋体"/>
          <w:b/>
          <w:color w:val="auto"/>
          <w:sz w:val="24"/>
          <w:highlight w:val="none"/>
          <w:u w:val="single"/>
        </w:rPr>
        <w:t>浙江安防职业技术学院</w:t>
      </w:r>
    </w:p>
    <w:p w14:paraId="32E5AA19">
      <w:pPr>
        <w:spacing w:line="440" w:lineRule="exact"/>
        <w:ind w:firstLine="550" w:firstLineChars="250"/>
        <w:rPr>
          <w:rFonts w:ascii="宋体" w:hAnsi="宋体" w:cs="宋体"/>
          <w:color w:val="auto"/>
          <w:sz w:val="22"/>
          <w:szCs w:val="22"/>
          <w:highlight w:val="none"/>
        </w:rPr>
      </w:pPr>
      <w:r>
        <w:rPr>
          <w:rFonts w:hint="eastAsia" w:ascii="宋体" w:hAnsi="宋体" w:cs="宋体"/>
          <w:color w:val="auto"/>
          <w:sz w:val="22"/>
          <w:szCs w:val="22"/>
          <w:highlight w:val="none"/>
        </w:rPr>
        <w:t>根据贵方为项目（项目编号:）的投标邀请，我方</w:t>
      </w:r>
      <w:r>
        <w:rPr>
          <w:rFonts w:hint="eastAsia" w:ascii="宋体" w:hAnsi="宋体" w:cs="宋体"/>
          <w:color w:val="auto"/>
          <w:sz w:val="22"/>
          <w:szCs w:val="22"/>
          <w:highlight w:val="none"/>
          <w:u w:val="single"/>
        </w:rPr>
        <w:t xml:space="preserve">           　　　      （投标人名称）</w:t>
      </w:r>
      <w:r>
        <w:rPr>
          <w:rFonts w:hint="eastAsia" w:ascii="宋体" w:hAnsi="宋体" w:cs="宋体"/>
          <w:color w:val="auto"/>
          <w:sz w:val="22"/>
          <w:szCs w:val="22"/>
          <w:highlight w:val="none"/>
        </w:rPr>
        <w:t>作为投标人正式授权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（授权代表全名，职务）代表我方处理有关本投标的一切事宜。</w:t>
      </w:r>
    </w:p>
    <w:p w14:paraId="17775C85">
      <w:pPr>
        <w:pStyle w:val="11"/>
        <w:spacing w:line="440" w:lineRule="exact"/>
        <w:ind w:firstLine="440"/>
        <w:rPr>
          <w:rFonts w:ascii="宋体" w:hAnsi="宋体" w:cs="宋体"/>
          <w:color w:val="auto"/>
          <w:sz w:val="22"/>
          <w:szCs w:val="22"/>
          <w:highlight w:val="none"/>
        </w:rPr>
      </w:pPr>
      <w:r>
        <w:rPr>
          <w:rFonts w:hint="eastAsia" w:ascii="宋体" w:hAnsi="宋体" w:cs="宋体"/>
          <w:color w:val="auto"/>
          <w:sz w:val="22"/>
          <w:szCs w:val="22"/>
          <w:highlight w:val="none"/>
        </w:rPr>
        <w:t>在此提交的投标文件中，包括如下内容，并已分别加密上传：</w:t>
      </w:r>
    </w:p>
    <w:p w14:paraId="6BC7D52D">
      <w:pPr>
        <w:pStyle w:val="11"/>
        <w:spacing w:line="440" w:lineRule="exact"/>
        <w:ind w:firstLine="440"/>
        <w:rPr>
          <w:rFonts w:ascii="宋体" w:hAnsi="宋体" w:cs="宋体"/>
          <w:color w:val="auto"/>
          <w:sz w:val="22"/>
          <w:szCs w:val="22"/>
          <w:highlight w:val="none"/>
        </w:rPr>
      </w:pPr>
      <w:r>
        <w:rPr>
          <w:rFonts w:hint="eastAsia" w:ascii="宋体" w:hAnsi="宋体" w:cs="宋体"/>
          <w:color w:val="auto"/>
          <w:sz w:val="22"/>
          <w:szCs w:val="22"/>
          <w:highlight w:val="none"/>
        </w:rPr>
        <w:t>（一）按“投标人须知”要求编制投标文件的“资格文件”；</w:t>
      </w:r>
    </w:p>
    <w:p w14:paraId="1B1D1C60">
      <w:pPr>
        <w:pStyle w:val="11"/>
        <w:spacing w:line="440" w:lineRule="exact"/>
        <w:ind w:firstLine="440"/>
        <w:rPr>
          <w:rFonts w:ascii="宋体" w:hAnsi="宋体" w:cs="宋体"/>
          <w:color w:val="auto"/>
          <w:sz w:val="22"/>
          <w:szCs w:val="22"/>
          <w:highlight w:val="none"/>
        </w:rPr>
      </w:pPr>
      <w:r>
        <w:rPr>
          <w:rFonts w:hint="eastAsia" w:ascii="宋体" w:hAnsi="宋体" w:cs="宋体"/>
          <w:color w:val="auto"/>
          <w:sz w:val="22"/>
          <w:szCs w:val="22"/>
          <w:highlight w:val="none"/>
        </w:rPr>
        <w:t>（二）按“投标人须知”要求编制投标文件的“商务技术文件”；</w:t>
      </w:r>
    </w:p>
    <w:p w14:paraId="349D90BC">
      <w:pPr>
        <w:pStyle w:val="11"/>
        <w:spacing w:line="440" w:lineRule="exact"/>
        <w:ind w:firstLine="440"/>
        <w:rPr>
          <w:rFonts w:ascii="宋体" w:hAnsi="宋体" w:cs="宋体"/>
          <w:color w:val="auto"/>
          <w:sz w:val="22"/>
          <w:szCs w:val="22"/>
          <w:highlight w:val="none"/>
        </w:rPr>
      </w:pPr>
      <w:r>
        <w:rPr>
          <w:rFonts w:hint="eastAsia" w:ascii="宋体" w:hAnsi="宋体" w:cs="宋体"/>
          <w:color w:val="auto"/>
          <w:sz w:val="22"/>
          <w:szCs w:val="22"/>
          <w:highlight w:val="none"/>
        </w:rPr>
        <w:t>（三）按“投标人须知”要求编制投标文件的“报价文件”；</w:t>
      </w:r>
    </w:p>
    <w:p w14:paraId="4A24C597">
      <w:pPr>
        <w:pStyle w:val="11"/>
        <w:spacing w:line="440" w:lineRule="exact"/>
        <w:ind w:firstLine="440"/>
        <w:rPr>
          <w:rFonts w:ascii="宋体" w:hAnsi="宋体" w:cs="宋体"/>
          <w:color w:val="auto"/>
          <w:sz w:val="22"/>
          <w:szCs w:val="22"/>
          <w:highlight w:val="none"/>
        </w:rPr>
      </w:pPr>
      <w:r>
        <w:rPr>
          <w:rFonts w:hint="eastAsia" w:ascii="宋体" w:hAnsi="宋体" w:cs="宋体"/>
          <w:color w:val="auto"/>
          <w:sz w:val="22"/>
          <w:szCs w:val="22"/>
          <w:highlight w:val="none"/>
        </w:rPr>
        <w:t>我方己完全明白招标文件的所有条款要求，并重申以下几点：</w:t>
      </w:r>
    </w:p>
    <w:p w14:paraId="52CB6F65">
      <w:pPr>
        <w:spacing w:line="440" w:lineRule="exact"/>
        <w:ind w:left="1019" w:leftChars="171" w:hanging="660" w:hangingChars="300"/>
        <w:rPr>
          <w:rFonts w:ascii="宋体" w:hAnsi="宋体" w:cs="宋体"/>
          <w:color w:val="auto"/>
          <w:sz w:val="22"/>
          <w:szCs w:val="22"/>
          <w:highlight w:val="none"/>
        </w:rPr>
      </w:pPr>
      <w:r>
        <w:rPr>
          <w:rFonts w:hint="eastAsia" w:ascii="宋体" w:hAnsi="宋体" w:cs="宋体"/>
          <w:color w:val="auto"/>
          <w:sz w:val="22"/>
          <w:szCs w:val="22"/>
          <w:highlight w:val="none"/>
        </w:rPr>
        <w:t>（一）本投标文件的有效期自投标截止日起</w:t>
      </w:r>
      <w:r>
        <w:rPr>
          <w:rFonts w:hint="eastAsia" w:ascii="宋体" w:hAnsi="宋体" w:cs="宋体"/>
          <w:b/>
          <w:color w:val="auto"/>
          <w:sz w:val="22"/>
          <w:szCs w:val="22"/>
          <w:highlight w:val="none"/>
          <w:u w:val="single"/>
        </w:rPr>
        <w:t>90</w:t>
      </w:r>
      <w:r>
        <w:rPr>
          <w:rFonts w:hint="eastAsia" w:ascii="宋体" w:hAnsi="宋体" w:cs="宋体"/>
          <w:color w:val="auto"/>
          <w:sz w:val="22"/>
          <w:szCs w:val="22"/>
          <w:highlight w:val="none"/>
        </w:rPr>
        <w:t>天内有效，如中标，有效期将延至合同终止日为止；</w:t>
      </w:r>
    </w:p>
    <w:p w14:paraId="43F7F7A3">
      <w:pPr>
        <w:spacing w:line="440" w:lineRule="exact"/>
        <w:ind w:left="1019" w:leftChars="171" w:hanging="660" w:hangingChars="300"/>
        <w:rPr>
          <w:rFonts w:ascii="宋体" w:hAnsi="宋体" w:cs="宋体"/>
          <w:color w:val="auto"/>
          <w:sz w:val="22"/>
          <w:szCs w:val="22"/>
          <w:highlight w:val="none"/>
        </w:rPr>
      </w:pPr>
      <w:r>
        <w:rPr>
          <w:rFonts w:hint="eastAsia" w:ascii="宋体" w:hAnsi="宋体" w:cs="宋体"/>
          <w:color w:val="auto"/>
          <w:sz w:val="22"/>
          <w:szCs w:val="22"/>
          <w:highlight w:val="none"/>
        </w:rPr>
        <w:t>（二）我方已详细研究了招标文件的所有内容包括修改书（如有）和所有已提供的参考资料以及有关附件，我方完全理解并同意放弃在此方面提出含糊意见或误解的一切权利；</w:t>
      </w:r>
    </w:p>
    <w:p w14:paraId="4AE8935D">
      <w:pPr>
        <w:spacing w:line="440" w:lineRule="exact"/>
        <w:ind w:left="359" w:leftChars="171"/>
        <w:rPr>
          <w:rFonts w:ascii="宋体" w:hAnsi="宋体" w:cs="宋体"/>
          <w:color w:val="auto"/>
          <w:sz w:val="22"/>
          <w:szCs w:val="22"/>
          <w:highlight w:val="none"/>
        </w:rPr>
      </w:pPr>
      <w:r>
        <w:rPr>
          <w:rFonts w:hint="eastAsia" w:ascii="宋体" w:hAnsi="宋体" w:cs="宋体"/>
          <w:color w:val="auto"/>
          <w:sz w:val="22"/>
          <w:szCs w:val="22"/>
          <w:highlight w:val="none"/>
        </w:rPr>
        <w:t>（三）我方同意提供按照贵方可能要求的与投标有关的一切数据或资料；</w:t>
      </w:r>
    </w:p>
    <w:p w14:paraId="62E0B74A">
      <w:pPr>
        <w:spacing w:line="440" w:lineRule="exact"/>
        <w:ind w:left="359" w:leftChars="171"/>
        <w:rPr>
          <w:rFonts w:ascii="宋体" w:hAnsi="宋体" w:cs="宋体"/>
          <w:color w:val="auto"/>
          <w:sz w:val="22"/>
          <w:szCs w:val="22"/>
          <w:highlight w:val="none"/>
        </w:rPr>
      </w:pPr>
      <w:r>
        <w:rPr>
          <w:rFonts w:hint="eastAsia" w:ascii="宋体" w:hAnsi="宋体" w:cs="宋体"/>
          <w:color w:val="auto"/>
          <w:sz w:val="22"/>
          <w:szCs w:val="22"/>
          <w:highlight w:val="none"/>
        </w:rPr>
        <w:t>（四）我方理解贵方不一定接受最低报价；</w:t>
      </w:r>
    </w:p>
    <w:p w14:paraId="6C10D6A8">
      <w:pPr>
        <w:spacing w:line="440" w:lineRule="exact"/>
        <w:ind w:left="1019" w:leftChars="171" w:hanging="660" w:hangingChars="300"/>
        <w:rPr>
          <w:rFonts w:ascii="宋体" w:hAnsi="宋体" w:cs="宋体"/>
          <w:color w:val="auto"/>
          <w:sz w:val="22"/>
          <w:szCs w:val="22"/>
          <w:highlight w:val="none"/>
        </w:rPr>
      </w:pPr>
      <w:r>
        <w:rPr>
          <w:rFonts w:hint="eastAsia" w:ascii="宋体" w:hAnsi="宋体" w:cs="宋体"/>
          <w:color w:val="auto"/>
          <w:sz w:val="22"/>
          <w:szCs w:val="22"/>
          <w:highlight w:val="none"/>
        </w:rPr>
        <w:t>（五）我方如果中标，将保证履行招标文件以及招标文件修改书（如有）中的全部责任和义务，按质、按量、按期完成《合同书》中的全部任务。</w:t>
      </w:r>
    </w:p>
    <w:p w14:paraId="0915DD0C">
      <w:pPr>
        <w:spacing w:line="440" w:lineRule="exact"/>
        <w:ind w:left="315"/>
        <w:rPr>
          <w:rFonts w:ascii="宋体" w:hAnsi="宋体" w:cs="宋体"/>
          <w:color w:val="auto"/>
          <w:sz w:val="22"/>
          <w:szCs w:val="22"/>
          <w:highlight w:val="none"/>
        </w:rPr>
      </w:pPr>
      <w:r>
        <w:rPr>
          <w:rFonts w:hint="eastAsia" w:ascii="宋体" w:hAnsi="宋体" w:cs="宋体"/>
          <w:color w:val="auto"/>
          <w:sz w:val="22"/>
          <w:szCs w:val="22"/>
          <w:highlight w:val="none"/>
        </w:rPr>
        <w:t>（六）所有与本投标有关的函件请发往下列地址：</w:t>
      </w:r>
    </w:p>
    <w:p w14:paraId="29B075ED">
      <w:pPr>
        <w:spacing w:line="440" w:lineRule="exact"/>
        <w:ind w:firstLine="435"/>
        <w:rPr>
          <w:rFonts w:ascii="宋体" w:hAnsi="宋体" w:cs="宋体"/>
          <w:color w:val="auto"/>
          <w:sz w:val="22"/>
          <w:szCs w:val="22"/>
          <w:highlight w:val="none"/>
        </w:rPr>
      </w:pPr>
      <w:r>
        <w:rPr>
          <w:rFonts w:hint="eastAsia" w:ascii="宋体" w:hAnsi="宋体" w:cs="宋体"/>
          <w:color w:val="auto"/>
          <w:sz w:val="22"/>
          <w:szCs w:val="22"/>
          <w:highlight w:val="none"/>
        </w:rPr>
        <w:t xml:space="preserve">   地址</w:t>
      </w:r>
      <w:r>
        <w:rPr>
          <w:rFonts w:hint="eastAsia" w:ascii="宋体" w:hAnsi="宋体" w:cs="宋体"/>
          <w:color w:val="auto"/>
          <w:sz w:val="22"/>
          <w:szCs w:val="22"/>
          <w:highlight w:val="none"/>
          <w:u w:val="single"/>
        </w:rPr>
        <w:t xml:space="preserve">                           </w:t>
      </w:r>
    </w:p>
    <w:p w14:paraId="79D21B44">
      <w:pPr>
        <w:spacing w:line="440" w:lineRule="exact"/>
        <w:ind w:firstLine="435"/>
        <w:rPr>
          <w:rFonts w:ascii="宋体" w:hAnsi="宋体" w:cs="宋体"/>
          <w:color w:val="auto"/>
          <w:sz w:val="22"/>
          <w:szCs w:val="22"/>
          <w:highlight w:val="none"/>
        </w:rPr>
      </w:pPr>
      <w:r>
        <w:rPr>
          <w:rFonts w:hint="eastAsia" w:ascii="宋体" w:hAnsi="宋体" w:cs="宋体"/>
          <w:color w:val="auto"/>
          <w:sz w:val="22"/>
          <w:szCs w:val="22"/>
          <w:highlight w:val="none"/>
        </w:rPr>
        <w:t xml:space="preserve">   电话</w:t>
      </w:r>
      <w:r>
        <w:rPr>
          <w:rFonts w:hint="eastAsia" w:ascii="宋体" w:hAnsi="宋体" w:cs="宋体"/>
          <w:color w:val="auto"/>
          <w:sz w:val="22"/>
          <w:szCs w:val="22"/>
          <w:highlight w:val="none"/>
          <w:u w:val="single"/>
        </w:rPr>
        <w:t xml:space="preserve">                           </w:t>
      </w:r>
    </w:p>
    <w:p w14:paraId="5A458DD3">
      <w:pPr>
        <w:spacing w:line="440" w:lineRule="exact"/>
        <w:ind w:firstLine="435"/>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   传真</w:t>
      </w:r>
      <w:r>
        <w:rPr>
          <w:rFonts w:hint="eastAsia" w:ascii="宋体" w:hAnsi="宋体" w:cs="宋体"/>
          <w:color w:val="auto"/>
          <w:sz w:val="22"/>
          <w:szCs w:val="22"/>
          <w:highlight w:val="none"/>
          <w:u w:val="single"/>
        </w:rPr>
        <w:t xml:space="preserve">                           </w:t>
      </w:r>
    </w:p>
    <w:p w14:paraId="1B3BF20B">
      <w:pPr>
        <w:spacing w:line="440" w:lineRule="exact"/>
        <w:ind w:firstLine="770" w:firstLineChars="350"/>
        <w:rPr>
          <w:rFonts w:ascii="宋体" w:hAnsi="宋体" w:cs="宋体"/>
          <w:color w:val="auto"/>
          <w:sz w:val="22"/>
          <w:szCs w:val="22"/>
          <w:highlight w:val="none"/>
          <w:u w:val="single"/>
        </w:rPr>
      </w:pPr>
      <w:r>
        <w:rPr>
          <w:rFonts w:hint="eastAsia" w:ascii="宋体" w:hAnsi="宋体" w:cs="宋体"/>
          <w:color w:val="auto"/>
          <w:sz w:val="22"/>
          <w:szCs w:val="22"/>
          <w:highlight w:val="none"/>
        </w:rPr>
        <w:t>电子邮件</w:t>
      </w:r>
      <w:r>
        <w:rPr>
          <w:rFonts w:hint="eastAsia" w:ascii="宋体" w:hAnsi="宋体" w:cs="宋体"/>
          <w:color w:val="auto"/>
          <w:sz w:val="22"/>
          <w:szCs w:val="22"/>
          <w:highlight w:val="none"/>
          <w:u w:val="single"/>
        </w:rPr>
        <w:t xml:space="preserve">                           </w:t>
      </w:r>
    </w:p>
    <w:p w14:paraId="5D1D0D29">
      <w:pPr>
        <w:spacing w:line="440" w:lineRule="exact"/>
        <w:ind w:firstLine="435"/>
        <w:rPr>
          <w:rFonts w:ascii="宋体" w:hAnsi="宋体" w:cs="宋体"/>
          <w:color w:val="auto"/>
          <w:sz w:val="22"/>
          <w:szCs w:val="22"/>
          <w:highlight w:val="none"/>
        </w:rPr>
      </w:pPr>
    </w:p>
    <w:p w14:paraId="0F4E5DD3">
      <w:pPr>
        <w:spacing w:line="440" w:lineRule="exact"/>
        <w:ind w:firstLine="4180" w:firstLineChars="1900"/>
        <w:rPr>
          <w:rFonts w:ascii="宋体" w:hAnsi="宋体" w:cs="宋体"/>
          <w:color w:val="auto"/>
          <w:sz w:val="22"/>
          <w:szCs w:val="22"/>
          <w:highlight w:val="none"/>
        </w:rPr>
      </w:pPr>
      <w:bookmarkStart w:id="160" w:name="_Toc195336280"/>
      <w:bookmarkStart w:id="161" w:name="_Toc218392089"/>
      <w:bookmarkStart w:id="162" w:name="_Toc230773785"/>
      <w:r>
        <w:rPr>
          <w:rFonts w:hint="eastAsia" w:ascii="宋体" w:hAnsi="宋体" w:cs="宋体"/>
          <w:color w:val="auto"/>
          <w:sz w:val="22"/>
          <w:szCs w:val="22"/>
          <w:highlight w:val="none"/>
        </w:rPr>
        <w:t>投标人名称</w:t>
      </w:r>
      <w:r>
        <w:rPr>
          <w:rFonts w:hint="eastAsia" w:ascii="宋体" w:hAnsi="宋体" w:cs="宋体"/>
          <w:color w:val="auto"/>
          <w:sz w:val="22"/>
          <w:szCs w:val="22"/>
          <w:highlight w:val="none"/>
          <w:u w:val="single"/>
        </w:rPr>
        <w:t xml:space="preserve">                           </w:t>
      </w:r>
    </w:p>
    <w:p w14:paraId="02F93BEE">
      <w:pPr>
        <w:spacing w:line="440" w:lineRule="exact"/>
        <w:ind w:firstLine="435"/>
        <w:rPr>
          <w:rFonts w:ascii="宋体" w:hAnsi="宋体" w:cs="宋体"/>
          <w:color w:val="auto"/>
          <w:sz w:val="22"/>
          <w:szCs w:val="22"/>
          <w:highlight w:val="none"/>
        </w:rPr>
      </w:pPr>
      <w:r>
        <w:rPr>
          <w:rFonts w:hint="eastAsia" w:ascii="宋体" w:hAnsi="宋体" w:cs="宋体"/>
          <w:color w:val="auto"/>
          <w:sz w:val="22"/>
          <w:szCs w:val="22"/>
          <w:highlight w:val="none"/>
        </w:rPr>
        <w:t xml:space="preserve">                                   公章</w:t>
      </w:r>
      <w:r>
        <w:rPr>
          <w:rFonts w:hint="eastAsia" w:ascii="宋体" w:hAnsi="宋体" w:cs="宋体"/>
          <w:color w:val="auto"/>
          <w:sz w:val="22"/>
          <w:szCs w:val="22"/>
          <w:highlight w:val="none"/>
          <w:u w:val="single"/>
        </w:rPr>
        <w:t xml:space="preserve">（电子签名/公章）                        </w:t>
      </w:r>
    </w:p>
    <w:p w14:paraId="658C4460">
      <w:pPr>
        <w:spacing w:line="440" w:lineRule="exact"/>
        <w:ind w:firstLine="435"/>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                                   日期</w:t>
      </w:r>
      <w:r>
        <w:rPr>
          <w:rFonts w:hint="eastAsia" w:ascii="宋体" w:hAnsi="宋体" w:cs="宋体"/>
          <w:color w:val="auto"/>
          <w:sz w:val="22"/>
          <w:szCs w:val="22"/>
          <w:highlight w:val="none"/>
          <w:u w:val="single"/>
        </w:rPr>
        <w:t xml:space="preserve">                           </w:t>
      </w:r>
    </w:p>
    <w:p w14:paraId="083D9857">
      <w:pPr>
        <w:spacing w:line="440" w:lineRule="exact"/>
        <w:ind w:firstLine="435"/>
        <w:rPr>
          <w:rFonts w:ascii="宋体" w:hAnsi="宋体" w:cs="宋体"/>
          <w:color w:val="auto"/>
          <w:sz w:val="22"/>
          <w:szCs w:val="22"/>
          <w:highlight w:val="none"/>
          <w:u w:val="single"/>
        </w:rPr>
      </w:pPr>
    </w:p>
    <w:p w14:paraId="519E9A99">
      <w:pPr>
        <w:spacing w:line="440" w:lineRule="exact"/>
        <w:ind w:firstLine="435"/>
        <w:rPr>
          <w:rFonts w:ascii="宋体" w:hAnsi="宋体" w:cs="宋体"/>
          <w:color w:val="auto"/>
          <w:sz w:val="22"/>
          <w:szCs w:val="22"/>
          <w:highlight w:val="none"/>
          <w:u w:val="single"/>
        </w:rPr>
      </w:pPr>
    </w:p>
    <w:p w14:paraId="24C24822">
      <w:pPr>
        <w:spacing w:line="440" w:lineRule="exact"/>
        <w:ind w:firstLine="435"/>
        <w:rPr>
          <w:rFonts w:ascii="宋体" w:hAnsi="宋体" w:cs="宋体"/>
          <w:color w:val="auto"/>
          <w:sz w:val="22"/>
          <w:szCs w:val="22"/>
          <w:highlight w:val="none"/>
          <w:u w:val="single"/>
        </w:rPr>
      </w:pPr>
    </w:p>
    <w:p w14:paraId="6BF8DDC0">
      <w:pPr>
        <w:pStyle w:val="3"/>
        <w:spacing w:line="240" w:lineRule="auto"/>
        <w:rPr>
          <w:rFonts w:ascii="宋体" w:hAnsi="宋体" w:eastAsia="宋体" w:cs="宋体"/>
          <w:color w:val="auto"/>
          <w:sz w:val="24"/>
          <w:szCs w:val="24"/>
          <w:highlight w:val="none"/>
        </w:rPr>
      </w:pPr>
      <w:bookmarkStart w:id="163" w:name="_Toc9464"/>
      <w:r>
        <w:rPr>
          <w:rFonts w:hint="eastAsia" w:ascii="宋体" w:hAnsi="宋体" w:eastAsia="宋体" w:cs="宋体"/>
          <w:color w:val="auto"/>
          <w:sz w:val="24"/>
          <w:szCs w:val="24"/>
          <w:highlight w:val="none"/>
        </w:rPr>
        <w:t>附件二</w:t>
      </w:r>
      <w:bookmarkEnd w:id="160"/>
      <w:bookmarkEnd w:id="161"/>
      <w:r>
        <w:rPr>
          <w:rFonts w:hint="eastAsia" w:ascii="宋体" w:hAnsi="宋体" w:eastAsia="宋体" w:cs="宋体"/>
          <w:color w:val="auto"/>
          <w:sz w:val="24"/>
          <w:szCs w:val="24"/>
          <w:highlight w:val="none"/>
        </w:rPr>
        <w:t xml:space="preserve"> 投标报价一览表</w:t>
      </w:r>
      <w:bookmarkEnd w:id="162"/>
      <w:bookmarkEnd w:id="163"/>
    </w:p>
    <w:p w14:paraId="1283A016">
      <w:pPr>
        <w:pStyle w:val="17"/>
        <w:rPr>
          <w:color w:val="auto"/>
          <w:highlight w:val="none"/>
        </w:rPr>
      </w:pPr>
    </w:p>
    <w:p w14:paraId="2504C6D5">
      <w:pPr>
        <w:spacing w:line="400" w:lineRule="exact"/>
        <w:jc w:val="center"/>
        <w:rPr>
          <w:rFonts w:ascii="宋体" w:hAnsi="宋体" w:cs="宋体"/>
          <w:b/>
          <w:bCs/>
          <w:color w:val="auto"/>
          <w:sz w:val="28"/>
          <w:szCs w:val="28"/>
          <w:highlight w:val="none"/>
        </w:rPr>
      </w:pPr>
      <w:bookmarkStart w:id="164" w:name="_Toc218392090"/>
      <w:bookmarkStart w:id="165" w:name="_Toc230773786"/>
      <w:bookmarkStart w:id="166" w:name="_Toc195336281"/>
      <w:bookmarkStart w:id="167" w:name="_Toc345161250"/>
      <w:bookmarkStart w:id="168" w:name="_Toc230773789"/>
      <w:r>
        <w:rPr>
          <w:rFonts w:hint="eastAsia" w:ascii="宋体" w:hAnsi="宋体" w:cs="宋体"/>
          <w:b/>
          <w:bCs/>
          <w:color w:val="auto"/>
          <w:sz w:val="28"/>
          <w:szCs w:val="28"/>
          <w:highlight w:val="none"/>
        </w:rPr>
        <w:t>投标报价一览表</w:t>
      </w:r>
    </w:p>
    <w:p w14:paraId="3051A63A">
      <w:pPr>
        <w:spacing w:line="380" w:lineRule="exact"/>
        <w:jc w:val="center"/>
        <w:rPr>
          <w:rFonts w:ascii="宋体" w:hAnsi="宋体" w:cs="宋体"/>
          <w:b/>
          <w:bCs/>
          <w:color w:val="auto"/>
          <w:sz w:val="28"/>
          <w:highlight w:val="none"/>
        </w:rPr>
      </w:pPr>
    </w:p>
    <w:p w14:paraId="3FC28B77">
      <w:pPr>
        <w:spacing w:line="38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项目名称：                                    项目编号：</w:t>
      </w:r>
    </w:p>
    <w:tbl>
      <w:tblPr>
        <w:tblStyle w:val="39"/>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984"/>
        <w:gridCol w:w="5955"/>
        <w:gridCol w:w="1082"/>
      </w:tblGrid>
      <w:tr w14:paraId="2E2D6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9" w:type="dxa"/>
            <w:vAlign w:val="center"/>
          </w:tcPr>
          <w:p w14:paraId="6FC98EDD">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序号</w:t>
            </w:r>
          </w:p>
        </w:tc>
        <w:tc>
          <w:tcPr>
            <w:tcW w:w="1984" w:type="dxa"/>
            <w:vAlign w:val="center"/>
          </w:tcPr>
          <w:p w14:paraId="7CDE6177">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项目名称</w:t>
            </w:r>
          </w:p>
        </w:tc>
        <w:tc>
          <w:tcPr>
            <w:tcW w:w="5955" w:type="dxa"/>
            <w:vAlign w:val="center"/>
          </w:tcPr>
          <w:p w14:paraId="555F4529">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投标报价</w:t>
            </w:r>
          </w:p>
        </w:tc>
        <w:tc>
          <w:tcPr>
            <w:tcW w:w="1082" w:type="dxa"/>
            <w:vAlign w:val="center"/>
          </w:tcPr>
          <w:p w14:paraId="314F7488">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备注</w:t>
            </w:r>
          </w:p>
        </w:tc>
      </w:tr>
      <w:tr w14:paraId="593E5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829" w:type="dxa"/>
            <w:vMerge w:val="restart"/>
            <w:vAlign w:val="center"/>
          </w:tcPr>
          <w:p w14:paraId="6D01672D">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1</w:t>
            </w:r>
          </w:p>
        </w:tc>
        <w:tc>
          <w:tcPr>
            <w:tcW w:w="1984" w:type="dxa"/>
            <w:vMerge w:val="restart"/>
            <w:vAlign w:val="center"/>
          </w:tcPr>
          <w:p w14:paraId="53FE862F">
            <w:pPr>
              <w:spacing w:line="38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提升国际化办学水平项目（重）</w:t>
            </w:r>
          </w:p>
        </w:tc>
        <w:tc>
          <w:tcPr>
            <w:tcW w:w="5955" w:type="dxa"/>
            <w:vAlign w:val="center"/>
          </w:tcPr>
          <w:p w14:paraId="197CED86">
            <w:pPr>
              <w:spacing w:line="380" w:lineRule="exact"/>
              <w:rPr>
                <w:rFonts w:ascii="宋体" w:hAnsi="宋体"/>
                <w:bCs/>
                <w:color w:val="auto"/>
                <w:sz w:val="22"/>
                <w:szCs w:val="22"/>
                <w:highlight w:val="none"/>
              </w:rPr>
            </w:pPr>
            <w:r>
              <w:rPr>
                <w:rFonts w:hint="eastAsia" w:ascii="宋体" w:hAnsi="宋体"/>
                <w:bCs/>
                <w:color w:val="auto"/>
                <w:sz w:val="22"/>
                <w:szCs w:val="22"/>
                <w:highlight w:val="none"/>
              </w:rPr>
              <w:t>小写：￥</w:t>
            </w:r>
          </w:p>
        </w:tc>
        <w:tc>
          <w:tcPr>
            <w:tcW w:w="1082" w:type="dxa"/>
            <w:vMerge w:val="restart"/>
            <w:vAlign w:val="center"/>
          </w:tcPr>
          <w:p w14:paraId="729D4471">
            <w:pPr>
              <w:spacing w:line="380" w:lineRule="exact"/>
              <w:jc w:val="center"/>
              <w:rPr>
                <w:rFonts w:ascii="宋体" w:hAnsi="宋体"/>
                <w:bCs/>
                <w:color w:val="auto"/>
                <w:sz w:val="22"/>
                <w:szCs w:val="22"/>
                <w:highlight w:val="none"/>
              </w:rPr>
            </w:pPr>
          </w:p>
        </w:tc>
      </w:tr>
      <w:tr w14:paraId="49486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829" w:type="dxa"/>
            <w:vMerge w:val="continue"/>
            <w:vAlign w:val="center"/>
          </w:tcPr>
          <w:p w14:paraId="64D762C6">
            <w:pPr>
              <w:spacing w:line="380" w:lineRule="exact"/>
              <w:jc w:val="center"/>
              <w:rPr>
                <w:rFonts w:ascii="宋体" w:hAnsi="宋体" w:cs="宋体"/>
                <w:color w:val="auto"/>
                <w:sz w:val="22"/>
                <w:szCs w:val="22"/>
                <w:highlight w:val="none"/>
              </w:rPr>
            </w:pPr>
          </w:p>
        </w:tc>
        <w:tc>
          <w:tcPr>
            <w:tcW w:w="1984" w:type="dxa"/>
            <w:vMerge w:val="continue"/>
            <w:vAlign w:val="center"/>
          </w:tcPr>
          <w:p w14:paraId="03661170">
            <w:pPr>
              <w:spacing w:line="380" w:lineRule="exact"/>
              <w:jc w:val="center"/>
              <w:rPr>
                <w:rFonts w:ascii="宋体" w:hAnsi="宋体" w:cs="宋体"/>
                <w:color w:val="auto"/>
                <w:sz w:val="22"/>
                <w:szCs w:val="22"/>
                <w:highlight w:val="none"/>
              </w:rPr>
            </w:pPr>
          </w:p>
        </w:tc>
        <w:tc>
          <w:tcPr>
            <w:tcW w:w="5955" w:type="dxa"/>
            <w:vAlign w:val="center"/>
          </w:tcPr>
          <w:p w14:paraId="28871C31">
            <w:pPr>
              <w:spacing w:line="380" w:lineRule="exact"/>
              <w:rPr>
                <w:rFonts w:ascii="宋体" w:hAnsi="宋体"/>
                <w:bCs/>
                <w:color w:val="auto"/>
                <w:sz w:val="22"/>
                <w:szCs w:val="22"/>
                <w:highlight w:val="none"/>
              </w:rPr>
            </w:pPr>
            <w:r>
              <w:rPr>
                <w:rFonts w:hint="eastAsia" w:ascii="宋体" w:hAnsi="宋体"/>
                <w:bCs/>
                <w:color w:val="auto"/>
                <w:sz w:val="22"/>
                <w:szCs w:val="22"/>
                <w:highlight w:val="none"/>
              </w:rPr>
              <w:t>大写：人民币</w:t>
            </w:r>
          </w:p>
        </w:tc>
        <w:tc>
          <w:tcPr>
            <w:tcW w:w="1082" w:type="dxa"/>
            <w:vMerge w:val="continue"/>
            <w:vAlign w:val="center"/>
          </w:tcPr>
          <w:p w14:paraId="05F9B97E">
            <w:pPr>
              <w:spacing w:line="380" w:lineRule="exact"/>
              <w:jc w:val="center"/>
              <w:rPr>
                <w:rFonts w:ascii="宋体" w:hAnsi="宋体"/>
                <w:bCs/>
                <w:color w:val="auto"/>
                <w:sz w:val="22"/>
                <w:szCs w:val="22"/>
                <w:highlight w:val="none"/>
              </w:rPr>
            </w:pPr>
          </w:p>
        </w:tc>
      </w:tr>
    </w:tbl>
    <w:p w14:paraId="6E084D11">
      <w:pPr>
        <w:spacing w:line="440" w:lineRule="exact"/>
        <w:ind w:left="528" w:leftChars="38" w:hanging="448" w:hangingChars="203"/>
        <w:rPr>
          <w:rFonts w:ascii="宋体" w:hAnsi="宋体"/>
          <w:b/>
          <w:bCs/>
          <w:color w:val="auto"/>
          <w:sz w:val="22"/>
          <w:szCs w:val="22"/>
          <w:highlight w:val="none"/>
        </w:rPr>
      </w:pPr>
      <w:r>
        <w:rPr>
          <w:rFonts w:hint="eastAsia" w:ascii="宋体" w:hAnsi="宋体" w:cs="宋体"/>
          <w:b/>
          <w:bCs/>
          <w:color w:val="auto"/>
          <w:sz w:val="22"/>
          <w:szCs w:val="22"/>
          <w:highlight w:val="none"/>
        </w:rPr>
        <w:t>说明：</w:t>
      </w:r>
      <w:r>
        <w:rPr>
          <w:rFonts w:hint="eastAsia" w:ascii="宋体" w:hAnsi="宋体"/>
          <w:b/>
          <w:bCs/>
          <w:color w:val="auto"/>
          <w:sz w:val="22"/>
          <w:szCs w:val="22"/>
          <w:highlight w:val="none"/>
        </w:rPr>
        <w:t>1.此栏内投标报价应与附件三“投标分项报价表”中相应总计价相一致；</w:t>
      </w:r>
    </w:p>
    <w:p w14:paraId="4DAEB6D7">
      <w:pPr>
        <w:spacing w:line="440" w:lineRule="exact"/>
        <w:ind w:left="535" w:leftChars="-171" w:hanging="894" w:hangingChars="405"/>
        <w:rPr>
          <w:rFonts w:ascii="宋体" w:hAnsi="宋体"/>
          <w:b/>
          <w:bCs/>
          <w:color w:val="auto"/>
          <w:sz w:val="22"/>
          <w:szCs w:val="22"/>
          <w:highlight w:val="none"/>
        </w:rPr>
      </w:pPr>
      <w:r>
        <w:rPr>
          <w:rFonts w:hint="eastAsia" w:ascii="宋体" w:hAnsi="宋体"/>
          <w:b/>
          <w:bCs/>
          <w:color w:val="auto"/>
          <w:sz w:val="22"/>
          <w:szCs w:val="22"/>
          <w:highlight w:val="none"/>
        </w:rPr>
        <w:t xml:space="preserve">          2.总报价应包括采购代理服务费。</w:t>
      </w:r>
    </w:p>
    <w:p w14:paraId="1E513B8C">
      <w:pPr>
        <w:spacing w:line="440" w:lineRule="exact"/>
        <w:ind w:left="481" w:leftChars="229" w:firstLine="221" w:firstLineChars="100"/>
        <w:rPr>
          <w:rFonts w:ascii="宋体" w:hAnsi="宋体"/>
          <w:b/>
          <w:bCs/>
          <w:color w:val="auto"/>
          <w:sz w:val="22"/>
          <w:szCs w:val="22"/>
          <w:highlight w:val="none"/>
        </w:rPr>
      </w:pPr>
      <w:r>
        <w:rPr>
          <w:rFonts w:hint="eastAsia" w:ascii="宋体" w:hAnsi="宋体"/>
          <w:b/>
          <w:bCs/>
          <w:color w:val="auto"/>
          <w:sz w:val="22"/>
          <w:szCs w:val="22"/>
          <w:highlight w:val="none"/>
        </w:rPr>
        <w:t>3.▲</w:t>
      </w:r>
      <w:r>
        <w:rPr>
          <w:rFonts w:hint="eastAsia" w:ascii="宋体" w:hAnsi="宋体"/>
          <w:b/>
          <w:bCs/>
          <w:color w:val="auto"/>
          <w:sz w:val="22"/>
          <w:szCs w:val="22"/>
          <w:highlight w:val="none"/>
          <w:u w:val="single"/>
        </w:rPr>
        <w:t>不按规定提供投标报价一览表的投标文件将被视为未实质性响应招标文件</w:t>
      </w:r>
      <w:r>
        <w:rPr>
          <w:rFonts w:hint="eastAsia" w:ascii="宋体" w:hAnsi="宋体"/>
          <w:b/>
          <w:bCs/>
          <w:color w:val="auto"/>
          <w:sz w:val="22"/>
          <w:szCs w:val="22"/>
          <w:highlight w:val="none"/>
        </w:rPr>
        <w:t>。</w:t>
      </w:r>
    </w:p>
    <w:p w14:paraId="44A44FFF">
      <w:pPr>
        <w:spacing w:line="440" w:lineRule="exact"/>
        <w:ind w:firstLine="9460" w:firstLineChars="4300"/>
        <w:rPr>
          <w:rFonts w:ascii="宋体" w:hAnsi="宋体" w:cs="宋体"/>
          <w:color w:val="auto"/>
          <w:sz w:val="22"/>
          <w:szCs w:val="22"/>
          <w:highlight w:val="none"/>
        </w:rPr>
      </w:pPr>
    </w:p>
    <w:p w14:paraId="0F9388A3">
      <w:pPr>
        <w:spacing w:line="440" w:lineRule="exact"/>
        <w:ind w:firstLine="9460" w:firstLineChars="4300"/>
        <w:rPr>
          <w:rFonts w:ascii="宋体" w:hAnsi="宋体" w:cs="宋体"/>
          <w:color w:val="auto"/>
          <w:sz w:val="22"/>
          <w:szCs w:val="22"/>
          <w:highlight w:val="none"/>
        </w:rPr>
      </w:pPr>
    </w:p>
    <w:p w14:paraId="343E520C">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投标人全称（电子签名/公章）：</w:t>
      </w:r>
    </w:p>
    <w:p w14:paraId="7349671F">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日 期：       年     月     日</w:t>
      </w:r>
    </w:p>
    <w:p w14:paraId="3D79D166">
      <w:pPr>
        <w:spacing w:line="440" w:lineRule="exact"/>
        <w:rPr>
          <w:rFonts w:ascii="宋体" w:hAnsi="宋体" w:cs="宋体"/>
          <w:color w:val="auto"/>
          <w:sz w:val="22"/>
          <w:szCs w:val="22"/>
          <w:highlight w:val="none"/>
        </w:rPr>
      </w:pPr>
    </w:p>
    <w:p w14:paraId="37DC8274">
      <w:pPr>
        <w:pStyle w:val="3"/>
        <w:spacing w:line="240" w:lineRule="auto"/>
        <w:rPr>
          <w:rFonts w:ascii="宋体" w:hAnsi="宋体" w:eastAsia="宋体"/>
          <w:color w:val="auto"/>
          <w:sz w:val="24"/>
          <w:szCs w:val="24"/>
          <w:highlight w:val="none"/>
        </w:rPr>
      </w:pPr>
      <w:bookmarkStart w:id="169" w:name="_Toc340922814"/>
      <w:r>
        <w:rPr>
          <w:rFonts w:ascii="宋体" w:hAnsi="宋体" w:eastAsia="宋体"/>
          <w:color w:val="auto"/>
          <w:sz w:val="24"/>
          <w:szCs w:val="24"/>
          <w:highlight w:val="none"/>
        </w:rPr>
        <w:br w:type="page"/>
      </w:r>
      <w:bookmarkStart w:id="170" w:name="_Toc3405"/>
      <w:r>
        <w:rPr>
          <w:rFonts w:hint="eastAsia" w:ascii="宋体" w:hAnsi="宋体" w:eastAsia="宋体"/>
          <w:color w:val="auto"/>
          <w:sz w:val="24"/>
          <w:szCs w:val="24"/>
          <w:highlight w:val="none"/>
        </w:rPr>
        <w:t>附件三 投标分项报价表</w:t>
      </w:r>
      <w:bookmarkEnd w:id="169"/>
      <w:bookmarkEnd w:id="170"/>
    </w:p>
    <w:p w14:paraId="3365D35B">
      <w:pPr>
        <w:spacing w:line="440" w:lineRule="exact"/>
        <w:jc w:val="center"/>
        <w:rPr>
          <w:rFonts w:ascii="宋体" w:hAnsi="宋体"/>
          <w:bCs/>
          <w:color w:val="auto"/>
          <w:sz w:val="28"/>
          <w:szCs w:val="28"/>
          <w:highlight w:val="none"/>
        </w:rPr>
      </w:pPr>
      <w:r>
        <w:rPr>
          <w:rFonts w:hint="eastAsia" w:ascii="宋体" w:hAnsi="宋体"/>
          <w:b/>
          <w:bCs/>
          <w:color w:val="auto"/>
          <w:sz w:val="28"/>
          <w:szCs w:val="28"/>
          <w:highlight w:val="none"/>
        </w:rPr>
        <w:t>投标分项报价表</w:t>
      </w:r>
    </w:p>
    <w:p w14:paraId="256DF417">
      <w:pPr>
        <w:spacing w:line="380" w:lineRule="exact"/>
        <w:rPr>
          <w:rFonts w:ascii="宋体" w:hAnsi="宋体"/>
          <w:b/>
          <w:bCs/>
          <w:color w:val="auto"/>
          <w:sz w:val="22"/>
          <w:szCs w:val="22"/>
          <w:highlight w:val="none"/>
        </w:rPr>
      </w:pPr>
      <w:r>
        <w:rPr>
          <w:rFonts w:hint="eastAsia" w:ascii="宋体" w:hAnsi="宋体"/>
          <w:b/>
          <w:bCs/>
          <w:color w:val="auto"/>
          <w:sz w:val="22"/>
          <w:szCs w:val="22"/>
          <w:highlight w:val="none"/>
        </w:rPr>
        <w:t>项目名称：                                             项目编号：</w:t>
      </w:r>
    </w:p>
    <w:tbl>
      <w:tblPr>
        <w:tblStyle w:val="39"/>
        <w:tblW w:w="982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3"/>
        <w:gridCol w:w="2935"/>
        <w:gridCol w:w="1303"/>
        <w:gridCol w:w="1317"/>
        <w:gridCol w:w="1077"/>
        <w:gridCol w:w="2321"/>
      </w:tblGrid>
      <w:tr w14:paraId="32A462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vAlign w:val="center"/>
          </w:tcPr>
          <w:p w14:paraId="0084B068">
            <w:pPr>
              <w:tabs>
                <w:tab w:val="left" w:pos="1418"/>
              </w:tabs>
              <w:snapToGrid w:val="0"/>
              <w:spacing w:line="288" w:lineRule="auto"/>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序号</w:t>
            </w:r>
          </w:p>
        </w:tc>
        <w:tc>
          <w:tcPr>
            <w:tcW w:w="2935" w:type="dxa"/>
            <w:tcBorders>
              <w:top w:val="single" w:color="auto" w:sz="4" w:space="0"/>
              <w:left w:val="single" w:color="auto" w:sz="4" w:space="0"/>
              <w:bottom w:val="single" w:color="auto" w:sz="4" w:space="0"/>
              <w:right w:val="single" w:color="auto" w:sz="4" w:space="0"/>
            </w:tcBorders>
            <w:vAlign w:val="center"/>
          </w:tcPr>
          <w:p w14:paraId="4D8DD107">
            <w:pPr>
              <w:tabs>
                <w:tab w:val="left" w:pos="1418"/>
              </w:tabs>
              <w:snapToGrid w:val="0"/>
              <w:spacing w:line="288" w:lineRule="auto"/>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服务内容</w:t>
            </w:r>
          </w:p>
        </w:tc>
        <w:tc>
          <w:tcPr>
            <w:tcW w:w="1303" w:type="dxa"/>
            <w:tcBorders>
              <w:top w:val="single" w:color="auto" w:sz="4" w:space="0"/>
              <w:left w:val="single" w:color="auto" w:sz="4" w:space="0"/>
              <w:bottom w:val="single" w:color="auto" w:sz="4" w:space="0"/>
              <w:right w:val="single" w:color="auto" w:sz="4" w:space="0"/>
            </w:tcBorders>
            <w:vAlign w:val="center"/>
          </w:tcPr>
          <w:p w14:paraId="31287287">
            <w:pPr>
              <w:tabs>
                <w:tab w:val="left" w:pos="1418"/>
              </w:tabs>
              <w:snapToGrid w:val="0"/>
              <w:spacing w:line="288" w:lineRule="auto"/>
              <w:jc w:val="center"/>
              <w:rPr>
                <w:rFonts w:hint="eastAsia" w:ascii="宋体" w:hAnsi="宋体" w:eastAsia="宋体" w:cs="宋体"/>
                <w:color w:val="auto"/>
                <w:spacing w:val="-6"/>
                <w:sz w:val="22"/>
                <w:szCs w:val="22"/>
                <w:highlight w:val="none"/>
                <w:lang w:eastAsia="zh-CN"/>
              </w:rPr>
            </w:pPr>
            <w:r>
              <w:rPr>
                <w:rFonts w:hint="eastAsia" w:ascii="宋体" w:hAnsi="宋体" w:cs="宋体"/>
                <w:color w:val="auto"/>
                <w:spacing w:val="-6"/>
                <w:sz w:val="22"/>
                <w:szCs w:val="22"/>
                <w:highlight w:val="none"/>
              </w:rPr>
              <w:t>数量及单位</w:t>
            </w:r>
          </w:p>
        </w:tc>
        <w:tc>
          <w:tcPr>
            <w:tcW w:w="1317" w:type="dxa"/>
            <w:tcBorders>
              <w:top w:val="single" w:color="auto" w:sz="4" w:space="0"/>
              <w:left w:val="single" w:color="auto" w:sz="4" w:space="0"/>
              <w:bottom w:val="single" w:color="auto" w:sz="4" w:space="0"/>
              <w:right w:val="single" w:color="auto" w:sz="4" w:space="0"/>
            </w:tcBorders>
            <w:vAlign w:val="center"/>
          </w:tcPr>
          <w:p w14:paraId="40B9025F">
            <w:pPr>
              <w:tabs>
                <w:tab w:val="left" w:pos="1418"/>
              </w:tabs>
              <w:snapToGrid w:val="0"/>
              <w:spacing w:line="288" w:lineRule="auto"/>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单价</w:t>
            </w:r>
          </w:p>
        </w:tc>
        <w:tc>
          <w:tcPr>
            <w:tcW w:w="1077" w:type="dxa"/>
            <w:tcBorders>
              <w:top w:val="single" w:color="auto" w:sz="4" w:space="0"/>
              <w:left w:val="single" w:color="auto" w:sz="4" w:space="0"/>
              <w:bottom w:val="single" w:color="auto" w:sz="4" w:space="0"/>
              <w:right w:val="single" w:color="auto" w:sz="4" w:space="0"/>
            </w:tcBorders>
            <w:vAlign w:val="center"/>
          </w:tcPr>
          <w:p w14:paraId="1E4211A4">
            <w:pPr>
              <w:tabs>
                <w:tab w:val="left" w:pos="1418"/>
              </w:tabs>
              <w:snapToGrid w:val="0"/>
              <w:spacing w:line="288" w:lineRule="auto"/>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金额</w:t>
            </w:r>
          </w:p>
        </w:tc>
        <w:tc>
          <w:tcPr>
            <w:tcW w:w="2321" w:type="dxa"/>
            <w:tcBorders>
              <w:top w:val="single" w:color="auto" w:sz="4" w:space="0"/>
              <w:left w:val="single" w:color="auto" w:sz="4" w:space="0"/>
              <w:bottom w:val="single" w:color="auto" w:sz="4" w:space="0"/>
              <w:right w:val="single" w:color="auto" w:sz="4" w:space="0"/>
            </w:tcBorders>
            <w:vAlign w:val="center"/>
          </w:tcPr>
          <w:p w14:paraId="6E475564">
            <w:pPr>
              <w:tabs>
                <w:tab w:val="left" w:pos="1418"/>
              </w:tabs>
              <w:snapToGrid w:val="0"/>
              <w:spacing w:line="288" w:lineRule="auto"/>
              <w:jc w:val="center"/>
              <w:rPr>
                <w:rFonts w:hint="eastAsia" w:ascii="宋体" w:hAnsi="宋体" w:eastAsia="宋体" w:cs="宋体"/>
                <w:color w:val="auto"/>
                <w:spacing w:val="-6"/>
                <w:sz w:val="22"/>
                <w:szCs w:val="22"/>
                <w:highlight w:val="none"/>
                <w:lang w:val="en-US" w:eastAsia="zh-CN"/>
              </w:rPr>
            </w:pPr>
            <w:r>
              <w:rPr>
                <w:rFonts w:hint="eastAsia" w:ascii="宋体" w:hAnsi="宋体" w:cs="宋体"/>
                <w:color w:val="auto"/>
                <w:spacing w:val="-6"/>
                <w:sz w:val="22"/>
                <w:szCs w:val="22"/>
                <w:highlight w:val="none"/>
                <w:lang w:val="en-US" w:eastAsia="zh-CN"/>
              </w:rPr>
              <w:t>备注</w:t>
            </w:r>
          </w:p>
        </w:tc>
      </w:tr>
      <w:tr w14:paraId="51B1E9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14:paraId="4814C7DD">
            <w:pPr>
              <w:tabs>
                <w:tab w:val="left" w:pos="1418"/>
              </w:tabs>
              <w:snapToGrid w:val="0"/>
              <w:spacing w:line="288" w:lineRule="auto"/>
              <w:jc w:val="center"/>
              <w:rPr>
                <w:rFonts w:hint="eastAsia" w:ascii="宋体" w:hAnsi="宋体" w:eastAsia="宋体" w:cs="宋体"/>
                <w:color w:val="auto"/>
                <w:spacing w:val="-6"/>
                <w:sz w:val="22"/>
                <w:szCs w:val="22"/>
                <w:highlight w:val="none"/>
                <w:lang w:val="en-US" w:eastAsia="zh-CN"/>
              </w:rPr>
            </w:pPr>
            <w:r>
              <w:rPr>
                <w:rFonts w:hint="eastAsia" w:ascii="宋体" w:hAnsi="宋体" w:cs="宋体"/>
                <w:color w:val="auto"/>
                <w:spacing w:val="-6"/>
                <w:sz w:val="22"/>
                <w:szCs w:val="22"/>
                <w:highlight w:val="none"/>
                <w:lang w:val="en-US" w:eastAsia="zh-CN"/>
              </w:rPr>
              <w:t>1</w:t>
            </w:r>
          </w:p>
        </w:tc>
        <w:tc>
          <w:tcPr>
            <w:tcW w:w="2935" w:type="dxa"/>
            <w:tcBorders>
              <w:top w:val="single" w:color="auto" w:sz="4" w:space="0"/>
              <w:left w:val="single" w:color="auto" w:sz="4" w:space="0"/>
              <w:bottom w:val="single" w:color="auto" w:sz="4" w:space="0"/>
              <w:right w:val="single" w:color="auto" w:sz="4" w:space="0"/>
            </w:tcBorders>
            <w:shd w:val="clear" w:color="auto" w:fill="FFFFFF"/>
            <w:vAlign w:val="center"/>
          </w:tcPr>
          <w:p w14:paraId="465B2F4D">
            <w:pPr>
              <w:keepNext w:val="0"/>
              <w:keepLines w:val="0"/>
              <w:pageBreakBefore w:val="0"/>
              <w:widowControl w:val="0"/>
              <w:tabs>
                <w:tab w:val="left" w:pos="1418"/>
              </w:tabs>
              <w:kinsoku/>
              <w:wordWrap/>
              <w:overflowPunct/>
              <w:topLinePunct w:val="0"/>
              <w:autoSpaceDE/>
              <w:autoSpaceDN/>
              <w:bidi w:val="0"/>
              <w:adjustRightInd/>
              <w:snapToGrid w:val="0"/>
              <w:spacing w:line="360" w:lineRule="exact"/>
              <w:jc w:val="center"/>
              <w:textAlignment w:val="auto"/>
              <w:rPr>
                <w:rFonts w:ascii="宋体" w:hAnsi="宋体" w:cs="宋体"/>
                <w:color w:val="auto"/>
                <w:spacing w:val="-6"/>
                <w:sz w:val="22"/>
                <w:szCs w:val="22"/>
                <w:highlight w:val="none"/>
              </w:rPr>
            </w:pPr>
            <w:r>
              <w:rPr>
                <w:rFonts w:hint="eastAsia" w:ascii="宋体" w:hAnsi="宋体" w:cs="宋体"/>
                <w:color w:val="auto"/>
                <w:spacing w:val="-6"/>
                <w:sz w:val="22"/>
                <w:szCs w:val="22"/>
                <w:highlight w:val="none"/>
                <w:lang w:val="en-US" w:eastAsia="zh-CN"/>
              </w:rPr>
              <w:t>协助采购人与合作院校签约仪式和揭牌仪式</w:t>
            </w:r>
          </w:p>
        </w:tc>
        <w:tc>
          <w:tcPr>
            <w:tcW w:w="1303" w:type="dxa"/>
            <w:tcBorders>
              <w:top w:val="single" w:color="auto" w:sz="4" w:space="0"/>
              <w:left w:val="single" w:color="auto" w:sz="4" w:space="0"/>
              <w:bottom w:val="single" w:color="auto" w:sz="4" w:space="0"/>
              <w:right w:val="single" w:color="auto" w:sz="4" w:space="0"/>
            </w:tcBorders>
            <w:vAlign w:val="center"/>
          </w:tcPr>
          <w:p w14:paraId="26B22A70">
            <w:pPr>
              <w:tabs>
                <w:tab w:val="left" w:pos="1418"/>
              </w:tabs>
              <w:snapToGrid w:val="0"/>
              <w:spacing w:line="288" w:lineRule="auto"/>
              <w:jc w:val="center"/>
              <w:rPr>
                <w:rFonts w:hint="default" w:ascii="宋体" w:hAnsi="宋体" w:eastAsia="宋体" w:cs="宋体"/>
                <w:color w:val="auto"/>
                <w:spacing w:val="-6"/>
                <w:sz w:val="22"/>
                <w:szCs w:val="22"/>
                <w:highlight w:val="none"/>
                <w:lang w:val="en-US" w:eastAsia="zh-CN"/>
              </w:rPr>
            </w:pPr>
          </w:p>
        </w:tc>
        <w:tc>
          <w:tcPr>
            <w:tcW w:w="1317" w:type="dxa"/>
            <w:tcBorders>
              <w:top w:val="single" w:color="auto" w:sz="4" w:space="0"/>
              <w:left w:val="single" w:color="auto" w:sz="4" w:space="0"/>
              <w:bottom w:val="single" w:color="auto" w:sz="4" w:space="0"/>
              <w:right w:val="single" w:color="auto" w:sz="4" w:space="0"/>
            </w:tcBorders>
            <w:vAlign w:val="center"/>
          </w:tcPr>
          <w:p w14:paraId="5B6202C3">
            <w:pPr>
              <w:tabs>
                <w:tab w:val="left" w:pos="1418"/>
              </w:tabs>
              <w:snapToGrid w:val="0"/>
              <w:spacing w:line="288" w:lineRule="auto"/>
              <w:jc w:val="center"/>
              <w:rPr>
                <w:rFonts w:ascii="宋体" w:hAnsi="宋体" w:cs="宋体"/>
                <w:color w:val="auto"/>
                <w:spacing w:val="-6"/>
                <w:sz w:val="22"/>
                <w:szCs w:val="22"/>
                <w:highlight w:val="none"/>
              </w:rPr>
            </w:pPr>
          </w:p>
        </w:tc>
        <w:tc>
          <w:tcPr>
            <w:tcW w:w="1077" w:type="dxa"/>
            <w:tcBorders>
              <w:top w:val="single" w:color="auto" w:sz="4" w:space="0"/>
              <w:left w:val="single" w:color="auto" w:sz="4" w:space="0"/>
              <w:bottom w:val="single" w:color="auto" w:sz="4" w:space="0"/>
              <w:right w:val="single" w:color="auto" w:sz="4" w:space="0"/>
            </w:tcBorders>
            <w:vAlign w:val="center"/>
          </w:tcPr>
          <w:p w14:paraId="6222D0D4">
            <w:pPr>
              <w:tabs>
                <w:tab w:val="left" w:pos="1418"/>
              </w:tabs>
              <w:snapToGrid w:val="0"/>
              <w:spacing w:line="288" w:lineRule="auto"/>
              <w:jc w:val="center"/>
              <w:rPr>
                <w:rFonts w:ascii="宋体" w:hAnsi="宋体" w:cs="宋体"/>
                <w:color w:val="auto"/>
                <w:spacing w:val="-6"/>
                <w:sz w:val="22"/>
                <w:szCs w:val="22"/>
                <w:highlight w:val="none"/>
              </w:rPr>
            </w:pPr>
          </w:p>
        </w:tc>
        <w:tc>
          <w:tcPr>
            <w:tcW w:w="2321" w:type="dxa"/>
            <w:tcBorders>
              <w:top w:val="single" w:color="auto" w:sz="4" w:space="0"/>
              <w:left w:val="single" w:color="auto" w:sz="4" w:space="0"/>
              <w:bottom w:val="single" w:color="auto" w:sz="4" w:space="0"/>
              <w:right w:val="single" w:color="auto" w:sz="4" w:space="0"/>
            </w:tcBorders>
            <w:vAlign w:val="center"/>
          </w:tcPr>
          <w:p w14:paraId="233049D3">
            <w:pPr>
              <w:tabs>
                <w:tab w:val="left" w:pos="1418"/>
              </w:tabs>
              <w:snapToGrid w:val="0"/>
              <w:spacing w:line="288" w:lineRule="auto"/>
              <w:jc w:val="center"/>
              <w:rPr>
                <w:rFonts w:hint="default" w:ascii="宋体" w:hAnsi="宋体" w:cs="宋体"/>
                <w:color w:val="auto"/>
                <w:spacing w:val="-6"/>
                <w:sz w:val="22"/>
                <w:szCs w:val="22"/>
                <w:highlight w:val="none"/>
                <w:lang w:val="en-US"/>
              </w:rPr>
            </w:pPr>
            <w:r>
              <w:rPr>
                <w:rFonts w:hint="eastAsia" w:ascii="宋体" w:hAnsi="宋体" w:cs="宋体"/>
                <w:color w:val="auto"/>
                <w:spacing w:val="-6"/>
                <w:sz w:val="22"/>
                <w:szCs w:val="22"/>
                <w:highlight w:val="none"/>
                <w:lang w:val="en-US" w:eastAsia="zh-CN"/>
              </w:rPr>
              <w:t>具体数量可根据投标人方案或承诺提高，不得少于1所院校</w:t>
            </w:r>
          </w:p>
        </w:tc>
      </w:tr>
      <w:tr w14:paraId="7FB3EB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14:paraId="702FA935">
            <w:pPr>
              <w:tabs>
                <w:tab w:val="left" w:pos="1418"/>
              </w:tabs>
              <w:snapToGrid w:val="0"/>
              <w:spacing w:line="288" w:lineRule="auto"/>
              <w:jc w:val="center"/>
              <w:rPr>
                <w:rFonts w:hint="eastAsia" w:ascii="宋体" w:hAnsi="宋体" w:eastAsia="宋体" w:cs="宋体"/>
                <w:color w:val="auto"/>
                <w:spacing w:val="-6"/>
                <w:sz w:val="22"/>
                <w:szCs w:val="22"/>
                <w:highlight w:val="none"/>
                <w:lang w:val="en-US" w:eastAsia="zh-CN"/>
              </w:rPr>
            </w:pPr>
            <w:r>
              <w:rPr>
                <w:rFonts w:hint="eastAsia" w:ascii="宋体" w:hAnsi="宋体" w:cs="宋体"/>
                <w:color w:val="auto"/>
                <w:spacing w:val="-6"/>
                <w:sz w:val="22"/>
                <w:szCs w:val="22"/>
                <w:highlight w:val="none"/>
                <w:lang w:val="en-US" w:eastAsia="zh-CN"/>
              </w:rPr>
              <w:t>2</w:t>
            </w:r>
          </w:p>
        </w:tc>
        <w:tc>
          <w:tcPr>
            <w:tcW w:w="2935" w:type="dxa"/>
            <w:tcBorders>
              <w:top w:val="single" w:color="auto" w:sz="4" w:space="0"/>
              <w:left w:val="single" w:color="auto" w:sz="4" w:space="0"/>
              <w:bottom w:val="single" w:color="auto" w:sz="4" w:space="0"/>
              <w:right w:val="single" w:color="auto" w:sz="4" w:space="0"/>
            </w:tcBorders>
            <w:shd w:val="clear" w:color="auto" w:fill="FFFFFF"/>
            <w:vAlign w:val="center"/>
          </w:tcPr>
          <w:p w14:paraId="4EF10988">
            <w:pPr>
              <w:keepNext w:val="0"/>
              <w:keepLines w:val="0"/>
              <w:pageBreakBefore w:val="0"/>
              <w:widowControl w:val="0"/>
              <w:tabs>
                <w:tab w:val="left" w:pos="1418"/>
              </w:tabs>
              <w:kinsoku/>
              <w:wordWrap/>
              <w:overflowPunct/>
              <w:topLinePunct w:val="0"/>
              <w:autoSpaceDE/>
              <w:autoSpaceDN/>
              <w:bidi w:val="0"/>
              <w:adjustRightInd/>
              <w:snapToGrid w:val="0"/>
              <w:spacing w:line="360" w:lineRule="exact"/>
              <w:jc w:val="center"/>
              <w:textAlignment w:val="auto"/>
              <w:rPr>
                <w:rFonts w:ascii="宋体" w:hAnsi="宋体" w:cs="宋体"/>
                <w:color w:val="auto"/>
                <w:spacing w:val="-6"/>
                <w:sz w:val="22"/>
                <w:szCs w:val="22"/>
                <w:highlight w:val="none"/>
              </w:rPr>
            </w:pPr>
            <w:r>
              <w:rPr>
                <w:rFonts w:hint="eastAsia" w:ascii="宋体" w:hAnsi="宋体" w:cs="宋体"/>
                <w:color w:val="auto"/>
                <w:spacing w:val="-6"/>
                <w:sz w:val="22"/>
                <w:szCs w:val="22"/>
                <w:highlight w:val="none"/>
                <w:lang w:val="en-US" w:eastAsia="zh-CN"/>
              </w:rPr>
              <w:t>向中方企业输送符合企业需求的职业人才</w:t>
            </w:r>
          </w:p>
        </w:tc>
        <w:tc>
          <w:tcPr>
            <w:tcW w:w="1303" w:type="dxa"/>
            <w:tcBorders>
              <w:top w:val="single" w:color="auto" w:sz="4" w:space="0"/>
              <w:left w:val="single" w:color="auto" w:sz="4" w:space="0"/>
              <w:bottom w:val="single" w:color="auto" w:sz="4" w:space="0"/>
              <w:right w:val="single" w:color="auto" w:sz="4" w:space="0"/>
            </w:tcBorders>
            <w:vAlign w:val="center"/>
          </w:tcPr>
          <w:p w14:paraId="0C5B22D2">
            <w:pPr>
              <w:tabs>
                <w:tab w:val="left" w:pos="1418"/>
              </w:tabs>
              <w:snapToGrid w:val="0"/>
              <w:spacing w:line="288" w:lineRule="auto"/>
              <w:jc w:val="center"/>
              <w:rPr>
                <w:rFonts w:hint="default" w:ascii="宋体" w:hAnsi="宋体" w:eastAsia="宋体" w:cs="宋体"/>
                <w:color w:val="auto"/>
                <w:spacing w:val="-6"/>
                <w:sz w:val="22"/>
                <w:szCs w:val="22"/>
                <w:highlight w:val="none"/>
                <w:lang w:val="en-US" w:eastAsia="zh-CN"/>
              </w:rPr>
            </w:pPr>
          </w:p>
        </w:tc>
        <w:tc>
          <w:tcPr>
            <w:tcW w:w="1317" w:type="dxa"/>
            <w:tcBorders>
              <w:top w:val="single" w:color="auto" w:sz="4" w:space="0"/>
              <w:left w:val="single" w:color="auto" w:sz="4" w:space="0"/>
              <w:bottom w:val="single" w:color="auto" w:sz="4" w:space="0"/>
              <w:right w:val="single" w:color="auto" w:sz="4" w:space="0"/>
            </w:tcBorders>
            <w:vAlign w:val="center"/>
          </w:tcPr>
          <w:p w14:paraId="08BE88D7">
            <w:pPr>
              <w:tabs>
                <w:tab w:val="left" w:pos="1418"/>
              </w:tabs>
              <w:snapToGrid w:val="0"/>
              <w:spacing w:line="288" w:lineRule="auto"/>
              <w:jc w:val="center"/>
              <w:rPr>
                <w:rFonts w:ascii="宋体" w:hAnsi="宋体" w:cs="宋体"/>
                <w:color w:val="auto"/>
                <w:spacing w:val="-6"/>
                <w:sz w:val="22"/>
                <w:szCs w:val="22"/>
                <w:highlight w:val="none"/>
              </w:rPr>
            </w:pPr>
          </w:p>
        </w:tc>
        <w:tc>
          <w:tcPr>
            <w:tcW w:w="1077" w:type="dxa"/>
            <w:tcBorders>
              <w:top w:val="single" w:color="auto" w:sz="4" w:space="0"/>
              <w:left w:val="single" w:color="auto" w:sz="4" w:space="0"/>
              <w:bottom w:val="single" w:color="auto" w:sz="4" w:space="0"/>
              <w:right w:val="single" w:color="auto" w:sz="4" w:space="0"/>
            </w:tcBorders>
            <w:vAlign w:val="center"/>
          </w:tcPr>
          <w:p w14:paraId="61D1923F">
            <w:pPr>
              <w:tabs>
                <w:tab w:val="left" w:pos="1418"/>
              </w:tabs>
              <w:snapToGrid w:val="0"/>
              <w:spacing w:line="288" w:lineRule="auto"/>
              <w:jc w:val="center"/>
              <w:rPr>
                <w:rFonts w:ascii="宋体" w:hAnsi="宋体" w:cs="宋体"/>
                <w:color w:val="auto"/>
                <w:spacing w:val="-6"/>
                <w:sz w:val="22"/>
                <w:szCs w:val="22"/>
                <w:highlight w:val="none"/>
              </w:rPr>
            </w:pPr>
          </w:p>
        </w:tc>
        <w:tc>
          <w:tcPr>
            <w:tcW w:w="2321" w:type="dxa"/>
            <w:tcBorders>
              <w:top w:val="single" w:color="auto" w:sz="4" w:space="0"/>
              <w:left w:val="single" w:color="auto" w:sz="4" w:space="0"/>
              <w:bottom w:val="single" w:color="auto" w:sz="4" w:space="0"/>
              <w:right w:val="single" w:color="auto" w:sz="4" w:space="0"/>
            </w:tcBorders>
            <w:vAlign w:val="center"/>
          </w:tcPr>
          <w:p w14:paraId="1CCBBE4F">
            <w:pPr>
              <w:tabs>
                <w:tab w:val="left" w:pos="1418"/>
              </w:tabs>
              <w:snapToGrid w:val="0"/>
              <w:spacing w:line="288" w:lineRule="auto"/>
              <w:jc w:val="center"/>
              <w:rPr>
                <w:rFonts w:hint="default" w:ascii="宋体" w:hAnsi="宋体" w:eastAsia="宋体" w:cs="宋体"/>
                <w:color w:val="auto"/>
                <w:spacing w:val="-6"/>
                <w:sz w:val="22"/>
                <w:szCs w:val="22"/>
                <w:highlight w:val="none"/>
                <w:lang w:val="en-US" w:eastAsia="zh-CN"/>
              </w:rPr>
            </w:pPr>
            <w:r>
              <w:rPr>
                <w:rFonts w:hint="eastAsia" w:ascii="宋体" w:hAnsi="宋体" w:cs="宋体"/>
                <w:color w:val="auto"/>
                <w:spacing w:val="-6"/>
                <w:sz w:val="22"/>
                <w:szCs w:val="22"/>
                <w:highlight w:val="none"/>
                <w:lang w:val="en-US" w:eastAsia="zh-CN"/>
              </w:rPr>
              <w:t>具体数量可根据投标人方案或承诺提高，不得少于30人</w:t>
            </w:r>
          </w:p>
        </w:tc>
      </w:tr>
      <w:tr w14:paraId="24F9E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14:paraId="038E1AD7">
            <w:pPr>
              <w:tabs>
                <w:tab w:val="left" w:pos="1418"/>
              </w:tabs>
              <w:snapToGrid w:val="0"/>
              <w:spacing w:line="288" w:lineRule="auto"/>
              <w:jc w:val="center"/>
              <w:rPr>
                <w:rFonts w:hint="eastAsia" w:ascii="宋体" w:hAnsi="宋体" w:eastAsia="宋体" w:cs="宋体"/>
                <w:color w:val="auto"/>
                <w:spacing w:val="-6"/>
                <w:sz w:val="22"/>
                <w:szCs w:val="22"/>
                <w:highlight w:val="none"/>
                <w:lang w:val="en-US" w:eastAsia="zh-CN"/>
              </w:rPr>
            </w:pPr>
            <w:r>
              <w:rPr>
                <w:rFonts w:hint="eastAsia" w:ascii="宋体" w:hAnsi="宋体" w:cs="宋体"/>
                <w:color w:val="auto"/>
                <w:spacing w:val="-6"/>
                <w:sz w:val="22"/>
                <w:szCs w:val="22"/>
                <w:highlight w:val="none"/>
                <w:lang w:val="en-US" w:eastAsia="zh-CN"/>
              </w:rPr>
              <w:t>3</w:t>
            </w:r>
          </w:p>
        </w:tc>
        <w:tc>
          <w:tcPr>
            <w:tcW w:w="2935" w:type="dxa"/>
            <w:tcBorders>
              <w:top w:val="single" w:color="auto" w:sz="4" w:space="0"/>
              <w:left w:val="single" w:color="auto" w:sz="4" w:space="0"/>
              <w:bottom w:val="single" w:color="auto" w:sz="4" w:space="0"/>
              <w:right w:val="single" w:color="auto" w:sz="4" w:space="0"/>
            </w:tcBorders>
            <w:shd w:val="clear" w:color="auto" w:fill="FFFFFF"/>
            <w:vAlign w:val="center"/>
          </w:tcPr>
          <w:p w14:paraId="00D1629E">
            <w:pPr>
              <w:keepNext w:val="0"/>
              <w:keepLines w:val="0"/>
              <w:pageBreakBefore w:val="0"/>
              <w:widowControl w:val="0"/>
              <w:tabs>
                <w:tab w:val="left" w:pos="1418"/>
              </w:tabs>
              <w:kinsoku/>
              <w:wordWrap/>
              <w:overflowPunct/>
              <w:topLinePunct w:val="0"/>
              <w:autoSpaceDE/>
              <w:autoSpaceDN/>
              <w:bidi w:val="0"/>
              <w:adjustRightInd/>
              <w:snapToGrid w:val="0"/>
              <w:spacing w:line="360" w:lineRule="exact"/>
              <w:jc w:val="center"/>
              <w:textAlignment w:val="auto"/>
              <w:rPr>
                <w:rFonts w:ascii="宋体" w:hAnsi="宋体" w:cs="宋体"/>
                <w:color w:val="auto"/>
                <w:spacing w:val="-6"/>
                <w:sz w:val="22"/>
                <w:szCs w:val="22"/>
                <w:highlight w:val="none"/>
              </w:rPr>
            </w:pPr>
            <w:r>
              <w:rPr>
                <w:rFonts w:hint="eastAsia" w:ascii="宋体" w:hAnsi="宋体" w:cs="宋体"/>
                <w:color w:val="auto"/>
                <w:spacing w:val="-6"/>
                <w:sz w:val="22"/>
                <w:szCs w:val="22"/>
                <w:highlight w:val="none"/>
                <w:lang w:val="en-US" w:eastAsia="zh-CN"/>
              </w:rPr>
              <w:t>招收外籍学生</w:t>
            </w:r>
          </w:p>
        </w:tc>
        <w:tc>
          <w:tcPr>
            <w:tcW w:w="1303" w:type="dxa"/>
            <w:tcBorders>
              <w:top w:val="single" w:color="auto" w:sz="4" w:space="0"/>
              <w:left w:val="single" w:color="auto" w:sz="4" w:space="0"/>
              <w:bottom w:val="single" w:color="auto" w:sz="4" w:space="0"/>
              <w:right w:val="single" w:color="auto" w:sz="4" w:space="0"/>
            </w:tcBorders>
            <w:vAlign w:val="center"/>
          </w:tcPr>
          <w:p w14:paraId="21F35179">
            <w:pPr>
              <w:tabs>
                <w:tab w:val="left" w:pos="1418"/>
              </w:tabs>
              <w:snapToGrid w:val="0"/>
              <w:spacing w:line="288" w:lineRule="auto"/>
              <w:jc w:val="center"/>
              <w:rPr>
                <w:rFonts w:hint="default" w:ascii="宋体" w:hAnsi="宋体" w:eastAsia="宋体" w:cs="宋体"/>
                <w:color w:val="auto"/>
                <w:spacing w:val="-6"/>
                <w:sz w:val="22"/>
                <w:szCs w:val="22"/>
                <w:highlight w:val="none"/>
                <w:lang w:val="en-US" w:eastAsia="zh-CN"/>
              </w:rPr>
            </w:pPr>
          </w:p>
        </w:tc>
        <w:tc>
          <w:tcPr>
            <w:tcW w:w="1317" w:type="dxa"/>
            <w:tcBorders>
              <w:top w:val="single" w:color="auto" w:sz="4" w:space="0"/>
              <w:left w:val="single" w:color="auto" w:sz="4" w:space="0"/>
              <w:bottom w:val="single" w:color="auto" w:sz="4" w:space="0"/>
              <w:right w:val="single" w:color="auto" w:sz="4" w:space="0"/>
            </w:tcBorders>
            <w:vAlign w:val="center"/>
          </w:tcPr>
          <w:p w14:paraId="19730A6B">
            <w:pPr>
              <w:tabs>
                <w:tab w:val="left" w:pos="1418"/>
              </w:tabs>
              <w:snapToGrid w:val="0"/>
              <w:spacing w:line="288" w:lineRule="auto"/>
              <w:jc w:val="center"/>
              <w:rPr>
                <w:rFonts w:ascii="宋体" w:hAnsi="宋体" w:cs="宋体"/>
                <w:color w:val="auto"/>
                <w:spacing w:val="-6"/>
                <w:sz w:val="22"/>
                <w:szCs w:val="22"/>
                <w:highlight w:val="none"/>
              </w:rPr>
            </w:pPr>
          </w:p>
        </w:tc>
        <w:tc>
          <w:tcPr>
            <w:tcW w:w="1077" w:type="dxa"/>
            <w:tcBorders>
              <w:top w:val="single" w:color="auto" w:sz="4" w:space="0"/>
              <w:left w:val="single" w:color="auto" w:sz="4" w:space="0"/>
              <w:bottom w:val="single" w:color="auto" w:sz="4" w:space="0"/>
              <w:right w:val="single" w:color="auto" w:sz="4" w:space="0"/>
            </w:tcBorders>
            <w:vAlign w:val="center"/>
          </w:tcPr>
          <w:p w14:paraId="0DCE2CA9">
            <w:pPr>
              <w:tabs>
                <w:tab w:val="left" w:pos="1418"/>
              </w:tabs>
              <w:snapToGrid w:val="0"/>
              <w:spacing w:line="288" w:lineRule="auto"/>
              <w:jc w:val="center"/>
              <w:rPr>
                <w:rFonts w:ascii="宋体" w:hAnsi="宋体" w:cs="宋体"/>
                <w:color w:val="auto"/>
                <w:spacing w:val="-6"/>
                <w:sz w:val="22"/>
                <w:szCs w:val="22"/>
                <w:highlight w:val="none"/>
              </w:rPr>
            </w:pPr>
          </w:p>
        </w:tc>
        <w:tc>
          <w:tcPr>
            <w:tcW w:w="2321" w:type="dxa"/>
            <w:tcBorders>
              <w:top w:val="single" w:color="auto" w:sz="4" w:space="0"/>
              <w:left w:val="single" w:color="auto" w:sz="4" w:space="0"/>
              <w:bottom w:val="single" w:color="auto" w:sz="4" w:space="0"/>
              <w:right w:val="single" w:color="auto" w:sz="4" w:space="0"/>
            </w:tcBorders>
            <w:vAlign w:val="center"/>
          </w:tcPr>
          <w:p w14:paraId="6B5A34D7">
            <w:pPr>
              <w:tabs>
                <w:tab w:val="left" w:pos="1418"/>
              </w:tabs>
              <w:snapToGrid w:val="0"/>
              <w:spacing w:line="288" w:lineRule="auto"/>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lang w:val="en-US" w:eastAsia="zh-CN"/>
              </w:rPr>
              <w:t>具体数量可根据投标人方案或承诺提高，不得少于50人</w:t>
            </w:r>
          </w:p>
        </w:tc>
      </w:tr>
      <w:tr w14:paraId="01F626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14:paraId="4FD3DB58">
            <w:pPr>
              <w:tabs>
                <w:tab w:val="left" w:pos="1418"/>
              </w:tabs>
              <w:snapToGrid w:val="0"/>
              <w:spacing w:line="288" w:lineRule="auto"/>
              <w:jc w:val="center"/>
              <w:rPr>
                <w:rFonts w:hint="eastAsia" w:ascii="宋体" w:hAnsi="宋体" w:eastAsia="宋体" w:cs="宋体"/>
                <w:color w:val="auto"/>
                <w:spacing w:val="-6"/>
                <w:sz w:val="22"/>
                <w:szCs w:val="22"/>
                <w:highlight w:val="none"/>
                <w:lang w:val="en-US" w:eastAsia="zh-CN"/>
              </w:rPr>
            </w:pPr>
            <w:r>
              <w:rPr>
                <w:rFonts w:hint="eastAsia" w:ascii="宋体" w:hAnsi="宋体" w:cs="宋体"/>
                <w:color w:val="auto"/>
                <w:spacing w:val="-6"/>
                <w:sz w:val="22"/>
                <w:szCs w:val="22"/>
                <w:highlight w:val="none"/>
                <w:lang w:val="en-US" w:eastAsia="zh-CN"/>
              </w:rPr>
              <w:t>4</w:t>
            </w:r>
          </w:p>
        </w:tc>
        <w:tc>
          <w:tcPr>
            <w:tcW w:w="2935" w:type="dxa"/>
            <w:tcBorders>
              <w:top w:val="single" w:color="auto" w:sz="4" w:space="0"/>
              <w:left w:val="single" w:color="auto" w:sz="4" w:space="0"/>
              <w:bottom w:val="single" w:color="auto" w:sz="4" w:space="0"/>
              <w:right w:val="single" w:color="auto" w:sz="4" w:space="0"/>
            </w:tcBorders>
            <w:shd w:val="clear" w:color="auto" w:fill="FFFFFF"/>
            <w:vAlign w:val="center"/>
          </w:tcPr>
          <w:p w14:paraId="0C123841">
            <w:pPr>
              <w:keepNext w:val="0"/>
              <w:keepLines w:val="0"/>
              <w:pageBreakBefore w:val="0"/>
              <w:widowControl w:val="0"/>
              <w:tabs>
                <w:tab w:val="left" w:pos="1418"/>
              </w:tabs>
              <w:kinsoku/>
              <w:wordWrap/>
              <w:overflowPunct/>
              <w:topLinePunct w:val="0"/>
              <w:autoSpaceDE/>
              <w:autoSpaceDN/>
              <w:bidi w:val="0"/>
              <w:adjustRightInd/>
              <w:snapToGrid w:val="0"/>
              <w:spacing w:line="360" w:lineRule="exact"/>
              <w:jc w:val="center"/>
              <w:textAlignment w:val="auto"/>
              <w:rPr>
                <w:rFonts w:hint="default" w:ascii="宋体" w:hAnsi="宋体" w:cs="宋体"/>
                <w:color w:val="auto"/>
                <w:spacing w:val="-6"/>
                <w:sz w:val="22"/>
                <w:szCs w:val="22"/>
                <w:highlight w:val="none"/>
                <w:lang w:val="en-US"/>
              </w:rPr>
            </w:pPr>
            <w:r>
              <w:rPr>
                <w:rFonts w:hint="eastAsia" w:ascii="宋体" w:hAnsi="宋体" w:cs="宋体"/>
                <w:color w:val="auto"/>
                <w:spacing w:val="-6"/>
                <w:sz w:val="22"/>
                <w:szCs w:val="22"/>
                <w:highlight w:val="none"/>
                <w:lang w:val="en-US" w:eastAsia="zh-CN"/>
              </w:rPr>
              <w:t>中方教师赴中亚培训</w:t>
            </w:r>
          </w:p>
        </w:tc>
        <w:tc>
          <w:tcPr>
            <w:tcW w:w="1303" w:type="dxa"/>
            <w:tcBorders>
              <w:top w:val="single" w:color="auto" w:sz="4" w:space="0"/>
              <w:left w:val="single" w:color="auto" w:sz="4" w:space="0"/>
              <w:bottom w:val="single" w:color="auto" w:sz="4" w:space="0"/>
              <w:right w:val="single" w:color="auto" w:sz="4" w:space="0"/>
            </w:tcBorders>
            <w:vAlign w:val="center"/>
          </w:tcPr>
          <w:p w14:paraId="7B74FD96">
            <w:pPr>
              <w:tabs>
                <w:tab w:val="left" w:pos="1418"/>
              </w:tabs>
              <w:snapToGrid w:val="0"/>
              <w:spacing w:line="288" w:lineRule="auto"/>
              <w:jc w:val="center"/>
              <w:rPr>
                <w:rFonts w:hint="default" w:ascii="宋体" w:hAnsi="宋体" w:eastAsia="宋体" w:cs="宋体"/>
                <w:color w:val="auto"/>
                <w:spacing w:val="-6"/>
                <w:sz w:val="22"/>
                <w:szCs w:val="22"/>
                <w:highlight w:val="none"/>
                <w:lang w:val="en-US" w:eastAsia="zh-CN"/>
              </w:rPr>
            </w:pPr>
          </w:p>
        </w:tc>
        <w:tc>
          <w:tcPr>
            <w:tcW w:w="1317" w:type="dxa"/>
            <w:tcBorders>
              <w:top w:val="single" w:color="auto" w:sz="4" w:space="0"/>
              <w:left w:val="single" w:color="auto" w:sz="4" w:space="0"/>
              <w:bottom w:val="single" w:color="auto" w:sz="4" w:space="0"/>
              <w:right w:val="single" w:color="auto" w:sz="4" w:space="0"/>
            </w:tcBorders>
            <w:vAlign w:val="center"/>
          </w:tcPr>
          <w:p w14:paraId="6BBBCAFB">
            <w:pPr>
              <w:tabs>
                <w:tab w:val="left" w:pos="1418"/>
              </w:tabs>
              <w:snapToGrid w:val="0"/>
              <w:spacing w:line="288" w:lineRule="auto"/>
              <w:jc w:val="center"/>
              <w:rPr>
                <w:rFonts w:ascii="宋体" w:hAnsi="宋体" w:cs="宋体"/>
                <w:color w:val="auto"/>
                <w:spacing w:val="-6"/>
                <w:sz w:val="22"/>
                <w:szCs w:val="22"/>
                <w:highlight w:val="none"/>
              </w:rPr>
            </w:pPr>
          </w:p>
        </w:tc>
        <w:tc>
          <w:tcPr>
            <w:tcW w:w="1077" w:type="dxa"/>
            <w:tcBorders>
              <w:top w:val="single" w:color="auto" w:sz="4" w:space="0"/>
              <w:left w:val="single" w:color="auto" w:sz="4" w:space="0"/>
              <w:bottom w:val="single" w:color="auto" w:sz="4" w:space="0"/>
              <w:right w:val="single" w:color="auto" w:sz="4" w:space="0"/>
            </w:tcBorders>
            <w:vAlign w:val="center"/>
          </w:tcPr>
          <w:p w14:paraId="45408698">
            <w:pPr>
              <w:tabs>
                <w:tab w:val="left" w:pos="1418"/>
              </w:tabs>
              <w:snapToGrid w:val="0"/>
              <w:spacing w:line="288" w:lineRule="auto"/>
              <w:jc w:val="center"/>
              <w:rPr>
                <w:rFonts w:ascii="宋体" w:hAnsi="宋体" w:cs="宋体"/>
                <w:color w:val="auto"/>
                <w:spacing w:val="-6"/>
                <w:sz w:val="22"/>
                <w:szCs w:val="22"/>
                <w:highlight w:val="none"/>
              </w:rPr>
            </w:pPr>
          </w:p>
        </w:tc>
        <w:tc>
          <w:tcPr>
            <w:tcW w:w="2321" w:type="dxa"/>
            <w:tcBorders>
              <w:top w:val="single" w:color="auto" w:sz="4" w:space="0"/>
              <w:left w:val="single" w:color="auto" w:sz="4" w:space="0"/>
              <w:bottom w:val="single" w:color="auto" w:sz="4" w:space="0"/>
              <w:right w:val="single" w:color="auto" w:sz="4" w:space="0"/>
            </w:tcBorders>
            <w:vAlign w:val="center"/>
          </w:tcPr>
          <w:p w14:paraId="32D684FF">
            <w:pPr>
              <w:tabs>
                <w:tab w:val="left" w:pos="1418"/>
              </w:tabs>
              <w:snapToGrid w:val="0"/>
              <w:spacing w:line="288" w:lineRule="auto"/>
              <w:jc w:val="center"/>
              <w:rPr>
                <w:rFonts w:hint="default" w:ascii="宋体" w:hAnsi="宋体" w:cs="宋体"/>
                <w:color w:val="auto"/>
                <w:spacing w:val="-6"/>
                <w:sz w:val="22"/>
                <w:szCs w:val="22"/>
                <w:highlight w:val="none"/>
                <w:lang w:val="en-US"/>
              </w:rPr>
            </w:pPr>
            <w:r>
              <w:rPr>
                <w:rFonts w:hint="eastAsia" w:ascii="宋体" w:hAnsi="宋体" w:cs="宋体"/>
                <w:color w:val="auto"/>
                <w:spacing w:val="-6"/>
                <w:sz w:val="22"/>
                <w:szCs w:val="22"/>
                <w:highlight w:val="none"/>
                <w:lang w:val="en-US" w:eastAsia="zh-CN"/>
              </w:rPr>
              <w:t>具体数量可根据投标人方案或承诺提高，不得少于2人，每人不得少于15个课时</w:t>
            </w:r>
          </w:p>
        </w:tc>
      </w:tr>
      <w:tr w14:paraId="0E1A61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14:paraId="71F33EAD">
            <w:pPr>
              <w:tabs>
                <w:tab w:val="left" w:pos="1418"/>
              </w:tabs>
              <w:snapToGrid w:val="0"/>
              <w:spacing w:line="288" w:lineRule="auto"/>
              <w:jc w:val="center"/>
              <w:rPr>
                <w:rFonts w:hint="eastAsia" w:ascii="宋体" w:hAnsi="宋体" w:eastAsia="宋体" w:cs="宋体"/>
                <w:color w:val="auto"/>
                <w:spacing w:val="-6"/>
                <w:sz w:val="22"/>
                <w:szCs w:val="22"/>
                <w:highlight w:val="none"/>
                <w:lang w:val="en-US" w:eastAsia="zh-CN"/>
              </w:rPr>
            </w:pPr>
            <w:r>
              <w:rPr>
                <w:rFonts w:hint="eastAsia" w:ascii="宋体" w:hAnsi="宋体" w:cs="宋体"/>
                <w:color w:val="auto"/>
                <w:spacing w:val="-6"/>
                <w:sz w:val="22"/>
                <w:szCs w:val="22"/>
                <w:highlight w:val="none"/>
                <w:lang w:val="en-US" w:eastAsia="zh-CN"/>
              </w:rPr>
              <w:t>5</w:t>
            </w:r>
          </w:p>
        </w:tc>
        <w:tc>
          <w:tcPr>
            <w:tcW w:w="2935" w:type="dxa"/>
            <w:tcBorders>
              <w:top w:val="single" w:color="auto" w:sz="4" w:space="0"/>
              <w:left w:val="single" w:color="auto" w:sz="4" w:space="0"/>
              <w:bottom w:val="single" w:color="auto" w:sz="4" w:space="0"/>
              <w:right w:val="single" w:color="auto" w:sz="4" w:space="0"/>
            </w:tcBorders>
            <w:shd w:val="clear" w:color="auto" w:fill="FFFFFF"/>
            <w:vAlign w:val="center"/>
          </w:tcPr>
          <w:p w14:paraId="0123078D">
            <w:pPr>
              <w:keepNext w:val="0"/>
              <w:keepLines w:val="0"/>
              <w:pageBreakBefore w:val="0"/>
              <w:widowControl w:val="0"/>
              <w:tabs>
                <w:tab w:val="left" w:pos="1418"/>
              </w:tabs>
              <w:kinsoku/>
              <w:wordWrap/>
              <w:overflowPunct/>
              <w:topLinePunct w:val="0"/>
              <w:autoSpaceDE/>
              <w:autoSpaceDN/>
              <w:bidi w:val="0"/>
              <w:adjustRightInd/>
              <w:snapToGrid w:val="0"/>
              <w:spacing w:line="360" w:lineRule="exact"/>
              <w:jc w:val="center"/>
              <w:textAlignment w:val="auto"/>
              <w:rPr>
                <w:rFonts w:hint="default" w:ascii="宋体" w:hAnsi="宋体" w:cs="宋体"/>
                <w:color w:val="auto"/>
                <w:spacing w:val="-6"/>
                <w:sz w:val="22"/>
                <w:szCs w:val="22"/>
                <w:highlight w:val="none"/>
                <w:lang w:val="en-US"/>
              </w:rPr>
            </w:pPr>
            <w:r>
              <w:rPr>
                <w:rFonts w:hint="eastAsia" w:ascii="宋体" w:hAnsi="宋体" w:cs="宋体"/>
                <w:color w:val="auto"/>
                <w:spacing w:val="-6"/>
                <w:sz w:val="22"/>
                <w:szCs w:val="22"/>
                <w:highlight w:val="none"/>
                <w:lang w:val="en-US" w:eastAsia="zh-CN"/>
              </w:rPr>
              <w:t>共建专业标准和课程标准制定</w:t>
            </w:r>
          </w:p>
        </w:tc>
        <w:tc>
          <w:tcPr>
            <w:tcW w:w="1303" w:type="dxa"/>
            <w:tcBorders>
              <w:top w:val="single" w:color="auto" w:sz="4" w:space="0"/>
              <w:left w:val="single" w:color="auto" w:sz="4" w:space="0"/>
              <w:bottom w:val="single" w:color="auto" w:sz="4" w:space="0"/>
              <w:right w:val="single" w:color="auto" w:sz="4" w:space="0"/>
            </w:tcBorders>
            <w:vAlign w:val="center"/>
          </w:tcPr>
          <w:p w14:paraId="0D9A2315">
            <w:pPr>
              <w:tabs>
                <w:tab w:val="left" w:pos="1418"/>
              </w:tabs>
              <w:snapToGrid w:val="0"/>
              <w:spacing w:line="288" w:lineRule="auto"/>
              <w:jc w:val="center"/>
              <w:rPr>
                <w:rFonts w:hint="default" w:ascii="宋体" w:hAnsi="宋体" w:eastAsia="宋体" w:cs="宋体"/>
                <w:color w:val="auto"/>
                <w:spacing w:val="-6"/>
                <w:sz w:val="22"/>
                <w:szCs w:val="22"/>
                <w:highlight w:val="none"/>
                <w:lang w:val="en-US" w:eastAsia="zh-CN"/>
              </w:rPr>
            </w:pPr>
          </w:p>
        </w:tc>
        <w:tc>
          <w:tcPr>
            <w:tcW w:w="1317" w:type="dxa"/>
            <w:tcBorders>
              <w:top w:val="single" w:color="auto" w:sz="4" w:space="0"/>
              <w:left w:val="single" w:color="auto" w:sz="4" w:space="0"/>
              <w:bottom w:val="single" w:color="auto" w:sz="4" w:space="0"/>
              <w:right w:val="single" w:color="auto" w:sz="4" w:space="0"/>
            </w:tcBorders>
            <w:vAlign w:val="center"/>
          </w:tcPr>
          <w:p w14:paraId="7875930A">
            <w:pPr>
              <w:tabs>
                <w:tab w:val="left" w:pos="1418"/>
              </w:tabs>
              <w:snapToGrid w:val="0"/>
              <w:spacing w:line="288" w:lineRule="auto"/>
              <w:jc w:val="center"/>
              <w:rPr>
                <w:rFonts w:ascii="宋体" w:hAnsi="宋体" w:cs="宋体"/>
                <w:color w:val="auto"/>
                <w:spacing w:val="-6"/>
                <w:sz w:val="22"/>
                <w:szCs w:val="22"/>
                <w:highlight w:val="none"/>
              </w:rPr>
            </w:pPr>
          </w:p>
        </w:tc>
        <w:tc>
          <w:tcPr>
            <w:tcW w:w="1077" w:type="dxa"/>
            <w:tcBorders>
              <w:top w:val="single" w:color="auto" w:sz="4" w:space="0"/>
              <w:left w:val="single" w:color="auto" w:sz="4" w:space="0"/>
              <w:bottom w:val="single" w:color="auto" w:sz="4" w:space="0"/>
              <w:right w:val="single" w:color="auto" w:sz="4" w:space="0"/>
            </w:tcBorders>
            <w:vAlign w:val="center"/>
          </w:tcPr>
          <w:p w14:paraId="41848B42">
            <w:pPr>
              <w:tabs>
                <w:tab w:val="left" w:pos="1418"/>
              </w:tabs>
              <w:snapToGrid w:val="0"/>
              <w:spacing w:line="288" w:lineRule="auto"/>
              <w:jc w:val="center"/>
              <w:rPr>
                <w:rFonts w:ascii="宋体" w:hAnsi="宋体" w:cs="宋体"/>
                <w:color w:val="auto"/>
                <w:spacing w:val="-6"/>
                <w:sz w:val="22"/>
                <w:szCs w:val="22"/>
                <w:highlight w:val="none"/>
              </w:rPr>
            </w:pPr>
          </w:p>
        </w:tc>
        <w:tc>
          <w:tcPr>
            <w:tcW w:w="2321" w:type="dxa"/>
            <w:tcBorders>
              <w:top w:val="single" w:color="auto" w:sz="4" w:space="0"/>
              <w:left w:val="single" w:color="auto" w:sz="4" w:space="0"/>
              <w:bottom w:val="single" w:color="auto" w:sz="4" w:space="0"/>
              <w:right w:val="single" w:color="auto" w:sz="4" w:space="0"/>
            </w:tcBorders>
            <w:vAlign w:val="center"/>
          </w:tcPr>
          <w:p w14:paraId="224B2816">
            <w:pPr>
              <w:tabs>
                <w:tab w:val="left" w:pos="1418"/>
              </w:tabs>
              <w:snapToGrid w:val="0"/>
              <w:spacing w:line="288" w:lineRule="auto"/>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lang w:val="en-US" w:eastAsia="zh-CN"/>
              </w:rPr>
              <w:t>具体数量可根据投标人方案或承诺提高，不得少于2门（专业标准1门，课程标准1门）</w:t>
            </w:r>
          </w:p>
        </w:tc>
      </w:tr>
      <w:tr w14:paraId="364800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14:paraId="3A43B499">
            <w:pPr>
              <w:tabs>
                <w:tab w:val="left" w:pos="1418"/>
              </w:tabs>
              <w:snapToGrid w:val="0"/>
              <w:spacing w:line="288" w:lineRule="auto"/>
              <w:jc w:val="center"/>
              <w:rPr>
                <w:rFonts w:hint="eastAsia" w:ascii="宋体" w:hAnsi="宋体" w:eastAsia="宋体" w:cs="宋体"/>
                <w:color w:val="auto"/>
                <w:spacing w:val="-6"/>
                <w:sz w:val="22"/>
                <w:szCs w:val="22"/>
                <w:highlight w:val="none"/>
                <w:lang w:val="en-US" w:eastAsia="zh-CN"/>
              </w:rPr>
            </w:pPr>
            <w:r>
              <w:rPr>
                <w:rFonts w:hint="eastAsia" w:ascii="宋体" w:hAnsi="宋体" w:cs="宋体"/>
                <w:color w:val="auto"/>
                <w:spacing w:val="-6"/>
                <w:sz w:val="22"/>
                <w:szCs w:val="22"/>
                <w:highlight w:val="none"/>
                <w:lang w:val="en-US" w:eastAsia="zh-CN"/>
              </w:rPr>
              <w:t>6</w:t>
            </w:r>
          </w:p>
        </w:tc>
        <w:tc>
          <w:tcPr>
            <w:tcW w:w="2935" w:type="dxa"/>
            <w:tcBorders>
              <w:top w:val="single" w:color="auto" w:sz="4" w:space="0"/>
              <w:left w:val="single" w:color="auto" w:sz="4" w:space="0"/>
              <w:bottom w:val="single" w:color="auto" w:sz="4" w:space="0"/>
              <w:right w:val="single" w:color="auto" w:sz="4" w:space="0"/>
            </w:tcBorders>
            <w:shd w:val="clear" w:color="auto" w:fill="FFFFFF"/>
            <w:vAlign w:val="center"/>
          </w:tcPr>
          <w:p w14:paraId="1FDB13D4">
            <w:pPr>
              <w:keepNext w:val="0"/>
              <w:keepLines w:val="0"/>
              <w:pageBreakBefore w:val="0"/>
              <w:widowControl w:val="0"/>
              <w:tabs>
                <w:tab w:val="left" w:pos="1418"/>
              </w:tabs>
              <w:kinsoku/>
              <w:wordWrap/>
              <w:overflowPunct/>
              <w:topLinePunct w:val="0"/>
              <w:autoSpaceDE/>
              <w:autoSpaceDN/>
              <w:bidi w:val="0"/>
              <w:adjustRightInd/>
              <w:snapToGrid w:val="0"/>
              <w:spacing w:line="360" w:lineRule="exact"/>
              <w:jc w:val="center"/>
              <w:textAlignment w:val="auto"/>
              <w:rPr>
                <w:rFonts w:hint="default" w:ascii="宋体" w:hAnsi="宋体" w:eastAsia="宋体" w:cs="宋体"/>
                <w:color w:val="auto"/>
                <w:spacing w:val="-6"/>
                <w:sz w:val="22"/>
                <w:szCs w:val="22"/>
                <w:highlight w:val="none"/>
                <w:lang w:val="en-US" w:eastAsia="zh-CN"/>
              </w:rPr>
            </w:pPr>
            <w:r>
              <w:rPr>
                <w:rFonts w:hint="eastAsia" w:ascii="宋体" w:hAnsi="宋体" w:cs="宋体"/>
                <w:color w:val="auto"/>
                <w:spacing w:val="-6"/>
                <w:sz w:val="22"/>
                <w:szCs w:val="22"/>
                <w:highlight w:val="none"/>
                <w:lang w:val="en-US" w:eastAsia="zh-CN"/>
              </w:rPr>
              <w:t>智慧服务平台部署与运维</w:t>
            </w:r>
          </w:p>
        </w:tc>
        <w:tc>
          <w:tcPr>
            <w:tcW w:w="1303" w:type="dxa"/>
            <w:tcBorders>
              <w:top w:val="single" w:color="auto" w:sz="4" w:space="0"/>
              <w:left w:val="single" w:color="auto" w:sz="4" w:space="0"/>
              <w:bottom w:val="single" w:color="auto" w:sz="4" w:space="0"/>
              <w:right w:val="single" w:color="auto" w:sz="4" w:space="0"/>
            </w:tcBorders>
            <w:vAlign w:val="center"/>
          </w:tcPr>
          <w:p w14:paraId="05B03FA5">
            <w:pPr>
              <w:tabs>
                <w:tab w:val="left" w:pos="1418"/>
              </w:tabs>
              <w:snapToGrid w:val="0"/>
              <w:spacing w:line="288" w:lineRule="auto"/>
              <w:jc w:val="center"/>
              <w:rPr>
                <w:rFonts w:hint="default" w:ascii="宋体" w:hAnsi="宋体" w:eastAsia="宋体" w:cs="宋体"/>
                <w:color w:val="auto"/>
                <w:spacing w:val="-6"/>
                <w:sz w:val="22"/>
                <w:szCs w:val="22"/>
                <w:highlight w:val="none"/>
                <w:lang w:val="en-US" w:eastAsia="zh-CN"/>
              </w:rPr>
            </w:pPr>
          </w:p>
        </w:tc>
        <w:tc>
          <w:tcPr>
            <w:tcW w:w="1317" w:type="dxa"/>
            <w:tcBorders>
              <w:top w:val="single" w:color="auto" w:sz="4" w:space="0"/>
              <w:left w:val="single" w:color="auto" w:sz="4" w:space="0"/>
              <w:bottom w:val="single" w:color="auto" w:sz="4" w:space="0"/>
              <w:right w:val="single" w:color="auto" w:sz="4" w:space="0"/>
            </w:tcBorders>
            <w:vAlign w:val="center"/>
          </w:tcPr>
          <w:p w14:paraId="2EA393B3">
            <w:pPr>
              <w:tabs>
                <w:tab w:val="left" w:pos="1418"/>
              </w:tabs>
              <w:snapToGrid w:val="0"/>
              <w:spacing w:line="288" w:lineRule="auto"/>
              <w:jc w:val="center"/>
              <w:rPr>
                <w:rFonts w:ascii="宋体" w:hAnsi="宋体" w:cs="宋体"/>
                <w:color w:val="auto"/>
                <w:spacing w:val="-6"/>
                <w:sz w:val="22"/>
                <w:szCs w:val="22"/>
                <w:highlight w:val="none"/>
              </w:rPr>
            </w:pPr>
          </w:p>
        </w:tc>
        <w:tc>
          <w:tcPr>
            <w:tcW w:w="1077" w:type="dxa"/>
            <w:tcBorders>
              <w:top w:val="single" w:color="auto" w:sz="4" w:space="0"/>
              <w:left w:val="single" w:color="auto" w:sz="4" w:space="0"/>
              <w:bottom w:val="single" w:color="auto" w:sz="4" w:space="0"/>
              <w:right w:val="single" w:color="auto" w:sz="4" w:space="0"/>
            </w:tcBorders>
            <w:vAlign w:val="center"/>
          </w:tcPr>
          <w:p w14:paraId="67B46192">
            <w:pPr>
              <w:tabs>
                <w:tab w:val="left" w:pos="1418"/>
              </w:tabs>
              <w:snapToGrid w:val="0"/>
              <w:spacing w:line="288" w:lineRule="auto"/>
              <w:jc w:val="center"/>
              <w:rPr>
                <w:rFonts w:ascii="宋体" w:hAnsi="宋体" w:cs="宋体"/>
                <w:color w:val="auto"/>
                <w:spacing w:val="-6"/>
                <w:sz w:val="22"/>
                <w:szCs w:val="22"/>
                <w:highlight w:val="none"/>
              </w:rPr>
            </w:pPr>
          </w:p>
        </w:tc>
        <w:tc>
          <w:tcPr>
            <w:tcW w:w="2321" w:type="dxa"/>
            <w:tcBorders>
              <w:top w:val="single" w:color="auto" w:sz="4" w:space="0"/>
              <w:left w:val="single" w:color="auto" w:sz="4" w:space="0"/>
              <w:bottom w:val="single" w:color="auto" w:sz="4" w:space="0"/>
              <w:right w:val="single" w:color="auto" w:sz="4" w:space="0"/>
            </w:tcBorders>
            <w:vAlign w:val="center"/>
          </w:tcPr>
          <w:p w14:paraId="3777FD31">
            <w:pPr>
              <w:tabs>
                <w:tab w:val="left" w:pos="1418"/>
              </w:tabs>
              <w:snapToGrid w:val="0"/>
              <w:spacing w:line="288" w:lineRule="auto"/>
              <w:jc w:val="center"/>
              <w:rPr>
                <w:rFonts w:hint="default" w:ascii="宋体" w:hAnsi="宋体" w:cs="宋体"/>
                <w:color w:val="auto"/>
                <w:spacing w:val="-6"/>
                <w:sz w:val="22"/>
                <w:szCs w:val="22"/>
                <w:highlight w:val="none"/>
                <w:lang w:val="en-US"/>
              </w:rPr>
            </w:pPr>
            <w:r>
              <w:rPr>
                <w:rFonts w:hint="eastAsia" w:ascii="宋体" w:hAnsi="宋体" w:cs="宋体"/>
                <w:color w:val="auto"/>
                <w:spacing w:val="-6"/>
                <w:sz w:val="22"/>
                <w:szCs w:val="22"/>
                <w:highlight w:val="none"/>
                <w:lang w:val="en-US" w:eastAsia="zh-CN"/>
              </w:rPr>
              <w:t>具体数量可根据投标人方案或承诺提高，</w:t>
            </w:r>
            <w:r>
              <w:rPr>
                <w:rFonts w:hint="eastAsia" w:ascii="宋体" w:hAnsi="宋体" w:eastAsia="宋体" w:cs="宋体"/>
                <w:bCs/>
                <w:color w:val="auto"/>
                <w:sz w:val="22"/>
                <w:szCs w:val="22"/>
                <w:highlight w:val="none"/>
                <w:lang w:val="en-US" w:eastAsia="zh-CN" w:bidi="ar-SA"/>
              </w:rPr>
              <w:t>账号使用期限不少于5年</w:t>
            </w:r>
          </w:p>
        </w:tc>
      </w:tr>
      <w:tr w14:paraId="1AFAE4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14:paraId="52D5C3B0">
            <w:pPr>
              <w:tabs>
                <w:tab w:val="left" w:pos="1418"/>
              </w:tabs>
              <w:snapToGrid w:val="0"/>
              <w:spacing w:line="288" w:lineRule="auto"/>
              <w:jc w:val="center"/>
              <w:rPr>
                <w:rFonts w:hint="eastAsia" w:ascii="宋体" w:hAnsi="宋体" w:eastAsia="宋体" w:cs="宋体"/>
                <w:color w:val="auto"/>
                <w:spacing w:val="-6"/>
                <w:sz w:val="22"/>
                <w:szCs w:val="22"/>
                <w:highlight w:val="none"/>
                <w:lang w:val="en-US" w:eastAsia="zh-CN"/>
              </w:rPr>
            </w:pPr>
            <w:r>
              <w:rPr>
                <w:rFonts w:hint="eastAsia" w:ascii="宋体" w:hAnsi="宋体" w:cs="宋体"/>
                <w:color w:val="auto"/>
                <w:spacing w:val="-6"/>
                <w:sz w:val="22"/>
                <w:szCs w:val="22"/>
                <w:highlight w:val="none"/>
                <w:lang w:val="en-US" w:eastAsia="zh-CN"/>
              </w:rPr>
              <w:t>7</w:t>
            </w:r>
          </w:p>
        </w:tc>
        <w:tc>
          <w:tcPr>
            <w:tcW w:w="2935" w:type="dxa"/>
            <w:tcBorders>
              <w:top w:val="single" w:color="auto" w:sz="4" w:space="0"/>
              <w:left w:val="single" w:color="auto" w:sz="4" w:space="0"/>
              <w:bottom w:val="single" w:color="auto" w:sz="4" w:space="0"/>
              <w:right w:val="single" w:color="auto" w:sz="4" w:space="0"/>
            </w:tcBorders>
            <w:shd w:val="clear" w:color="auto" w:fill="FFFFFF"/>
            <w:vAlign w:val="center"/>
          </w:tcPr>
          <w:p w14:paraId="4998523A">
            <w:pPr>
              <w:keepNext w:val="0"/>
              <w:keepLines w:val="0"/>
              <w:pageBreakBefore w:val="0"/>
              <w:widowControl w:val="0"/>
              <w:tabs>
                <w:tab w:val="left" w:pos="1418"/>
              </w:tabs>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pacing w:val="-6"/>
                <w:sz w:val="22"/>
                <w:szCs w:val="22"/>
                <w:highlight w:val="none"/>
                <w:lang w:val="en-US" w:eastAsia="zh-CN"/>
              </w:rPr>
            </w:pPr>
            <w:r>
              <w:rPr>
                <w:rFonts w:hint="eastAsia" w:ascii="宋体" w:hAnsi="宋体" w:cs="宋体"/>
                <w:color w:val="auto"/>
                <w:spacing w:val="-6"/>
                <w:sz w:val="22"/>
                <w:szCs w:val="22"/>
                <w:highlight w:val="none"/>
                <w:lang w:val="en-US" w:eastAsia="zh-CN"/>
              </w:rPr>
              <w:t>其他</w:t>
            </w:r>
          </w:p>
        </w:tc>
        <w:tc>
          <w:tcPr>
            <w:tcW w:w="1303" w:type="dxa"/>
            <w:tcBorders>
              <w:top w:val="single" w:color="auto" w:sz="4" w:space="0"/>
              <w:left w:val="single" w:color="auto" w:sz="4" w:space="0"/>
              <w:bottom w:val="single" w:color="auto" w:sz="4" w:space="0"/>
              <w:right w:val="single" w:color="auto" w:sz="4" w:space="0"/>
            </w:tcBorders>
            <w:vAlign w:val="center"/>
          </w:tcPr>
          <w:p w14:paraId="4D3934CA">
            <w:pPr>
              <w:tabs>
                <w:tab w:val="left" w:pos="1418"/>
              </w:tabs>
              <w:snapToGrid w:val="0"/>
              <w:spacing w:line="288" w:lineRule="auto"/>
              <w:jc w:val="center"/>
              <w:rPr>
                <w:rFonts w:ascii="宋体" w:hAnsi="宋体" w:cs="宋体"/>
                <w:color w:val="auto"/>
                <w:spacing w:val="-6"/>
                <w:sz w:val="22"/>
                <w:szCs w:val="22"/>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14:paraId="4626A534">
            <w:pPr>
              <w:tabs>
                <w:tab w:val="left" w:pos="1418"/>
              </w:tabs>
              <w:snapToGrid w:val="0"/>
              <w:spacing w:line="288" w:lineRule="auto"/>
              <w:jc w:val="center"/>
              <w:rPr>
                <w:rFonts w:ascii="宋体" w:hAnsi="宋体" w:cs="宋体"/>
                <w:color w:val="auto"/>
                <w:spacing w:val="-6"/>
                <w:sz w:val="22"/>
                <w:szCs w:val="22"/>
                <w:highlight w:val="none"/>
              </w:rPr>
            </w:pPr>
          </w:p>
        </w:tc>
        <w:tc>
          <w:tcPr>
            <w:tcW w:w="1077" w:type="dxa"/>
            <w:tcBorders>
              <w:top w:val="single" w:color="auto" w:sz="4" w:space="0"/>
              <w:left w:val="single" w:color="auto" w:sz="4" w:space="0"/>
              <w:bottom w:val="single" w:color="auto" w:sz="4" w:space="0"/>
              <w:right w:val="single" w:color="auto" w:sz="4" w:space="0"/>
            </w:tcBorders>
            <w:vAlign w:val="center"/>
          </w:tcPr>
          <w:p w14:paraId="5423BAAB">
            <w:pPr>
              <w:tabs>
                <w:tab w:val="left" w:pos="1418"/>
              </w:tabs>
              <w:snapToGrid w:val="0"/>
              <w:spacing w:line="288" w:lineRule="auto"/>
              <w:jc w:val="center"/>
              <w:rPr>
                <w:rFonts w:ascii="宋体" w:hAnsi="宋体" w:cs="宋体"/>
                <w:color w:val="auto"/>
                <w:spacing w:val="-6"/>
                <w:sz w:val="22"/>
                <w:szCs w:val="22"/>
                <w:highlight w:val="none"/>
              </w:rPr>
            </w:pPr>
          </w:p>
        </w:tc>
        <w:tc>
          <w:tcPr>
            <w:tcW w:w="2321" w:type="dxa"/>
            <w:tcBorders>
              <w:top w:val="single" w:color="auto" w:sz="4" w:space="0"/>
              <w:left w:val="single" w:color="auto" w:sz="4" w:space="0"/>
              <w:bottom w:val="single" w:color="auto" w:sz="4" w:space="0"/>
              <w:right w:val="single" w:color="auto" w:sz="4" w:space="0"/>
            </w:tcBorders>
            <w:vAlign w:val="center"/>
          </w:tcPr>
          <w:p w14:paraId="1CFA95B3">
            <w:pPr>
              <w:tabs>
                <w:tab w:val="left" w:pos="1418"/>
              </w:tabs>
              <w:snapToGrid w:val="0"/>
              <w:spacing w:line="288" w:lineRule="auto"/>
              <w:jc w:val="center"/>
              <w:rPr>
                <w:rFonts w:ascii="宋体" w:hAnsi="宋体" w:cs="宋体"/>
                <w:color w:val="auto"/>
                <w:spacing w:val="-6"/>
                <w:sz w:val="22"/>
                <w:szCs w:val="22"/>
                <w:highlight w:val="none"/>
              </w:rPr>
            </w:pPr>
          </w:p>
        </w:tc>
      </w:tr>
      <w:tr w14:paraId="67AA9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14:paraId="46464FE7">
            <w:pPr>
              <w:tabs>
                <w:tab w:val="left" w:pos="1418"/>
              </w:tabs>
              <w:snapToGrid w:val="0"/>
              <w:spacing w:line="288" w:lineRule="auto"/>
              <w:jc w:val="center"/>
              <w:rPr>
                <w:rFonts w:ascii="宋体" w:hAnsi="宋体" w:cs="宋体"/>
                <w:color w:val="auto"/>
                <w:spacing w:val="-6"/>
                <w:sz w:val="22"/>
                <w:szCs w:val="22"/>
                <w:highlight w:val="none"/>
              </w:rPr>
            </w:pPr>
          </w:p>
        </w:tc>
        <w:tc>
          <w:tcPr>
            <w:tcW w:w="2935" w:type="dxa"/>
            <w:tcBorders>
              <w:top w:val="single" w:color="auto" w:sz="4" w:space="0"/>
              <w:left w:val="single" w:color="auto" w:sz="4" w:space="0"/>
              <w:bottom w:val="single" w:color="auto" w:sz="4" w:space="0"/>
              <w:right w:val="single" w:color="auto" w:sz="4" w:space="0"/>
            </w:tcBorders>
            <w:shd w:val="clear" w:color="auto" w:fill="FFFFFF"/>
            <w:vAlign w:val="center"/>
          </w:tcPr>
          <w:p w14:paraId="024ED73F">
            <w:pPr>
              <w:keepNext w:val="0"/>
              <w:keepLines w:val="0"/>
              <w:pageBreakBefore w:val="0"/>
              <w:widowControl w:val="0"/>
              <w:tabs>
                <w:tab w:val="left" w:pos="1418"/>
              </w:tabs>
              <w:kinsoku/>
              <w:wordWrap/>
              <w:overflowPunct/>
              <w:topLinePunct w:val="0"/>
              <w:autoSpaceDE/>
              <w:autoSpaceDN/>
              <w:bidi w:val="0"/>
              <w:adjustRightInd/>
              <w:snapToGrid w:val="0"/>
              <w:spacing w:line="360" w:lineRule="exact"/>
              <w:jc w:val="center"/>
              <w:textAlignment w:val="auto"/>
              <w:rPr>
                <w:rFonts w:hint="default" w:ascii="宋体" w:hAnsi="宋体" w:eastAsia="宋体" w:cs="宋体"/>
                <w:color w:val="auto"/>
                <w:spacing w:val="-6"/>
                <w:sz w:val="22"/>
                <w:szCs w:val="22"/>
                <w:highlight w:val="none"/>
                <w:lang w:val="en-US" w:eastAsia="zh-CN"/>
              </w:rPr>
            </w:pPr>
            <w:r>
              <w:rPr>
                <w:rFonts w:hint="eastAsia" w:ascii="宋体" w:hAnsi="宋体" w:cs="宋体"/>
                <w:color w:val="auto"/>
                <w:spacing w:val="-6"/>
                <w:sz w:val="22"/>
                <w:szCs w:val="22"/>
                <w:highlight w:val="none"/>
                <w:lang w:val="en-US" w:eastAsia="zh-CN"/>
              </w:rPr>
              <w:t>...........</w:t>
            </w:r>
          </w:p>
        </w:tc>
        <w:tc>
          <w:tcPr>
            <w:tcW w:w="1303" w:type="dxa"/>
            <w:tcBorders>
              <w:top w:val="single" w:color="auto" w:sz="4" w:space="0"/>
              <w:left w:val="single" w:color="auto" w:sz="4" w:space="0"/>
              <w:bottom w:val="single" w:color="auto" w:sz="4" w:space="0"/>
              <w:right w:val="single" w:color="auto" w:sz="4" w:space="0"/>
            </w:tcBorders>
          </w:tcPr>
          <w:p w14:paraId="08A877CC">
            <w:pPr>
              <w:tabs>
                <w:tab w:val="left" w:pos="1418"/>
              </w:tabs>
              <w:snapToGrid w:val="0"/>
              <w:spacing w:line="288" w:lineRule="auto"/>
              <w:jc w:val="center"/>
              <w:rPr>
                <w:rFonts w:ascii="宋体" w:hAnsi="宋体" w:cs="宋体"/>
                <w:color w:val="auto"/>
                <w:spacing w:val="-6"/>
                <w:sz w:val="22"/>
                <w:szCs w:val="22"/>
                <w:highlight w:val="none"/>
              </w:rPr>
            </w:pPr>
          </w:p>
        </w:tc>
        <w:tc>
          <w:tcPr>
            <w:tcW w:w="1317" w:type="dxa"/>
            <w:tcBorders>
              <w:top w:val="single" w:color="auto" w:sz="4" w:space="0"/>
              <w:left w:val="single" w:color="auto" w:sz="4" w:space="0"/>
              <w:bottom w:val="single" w:color="auto" w:sz="4" w:space="0"/>
              <w:right w:val="single" w:color="auto" w:sz="4" w:space="0"/>
            </w:tcBorders>
          </w:tcPr>
          <w:p w14:paraId="0C919DDE">
            <w:pPr>
              <w:tabs>
                <w:tab w:val="left" w:pos="1418"/>
              </w:tabs>
              <w:snapToGrid w:val="0"/>
              <w:spacing w:line="288" w:lineRule="auto"/>
              <w:jc w:val="center"/>
              <w:rPr>
                <w:rFonts w:ascii="宋体" w:hAnsi="宋体" w:cs="宋体"/>
                <w:color w:val="auto"/>
                <w:spacing w:val="-6"/>
                <w:sz w:val="22"/>
                <w:szCs w:val="22"/>
                <w:highlight w:val="none"/>
              </w:rPr>
            </w:pPr>
          </w:p>
        </w:tc>
        <w:tc>
          <w:tcPr>
            <w:tcW w:w="1077" w:type="dxa"/>
            <w:tcBorders>
              <w:top w:val="single" w:color="auto" w:sz="4" w:space="0"/>
              <w:left w:val="single" w:color="auto" w:sz="4" w:space="0"/>
              <w:bottom w:val="single" w:color="auto" w:sz="4" w:space="0"/>
              <w:right w:val="single" w:color="auto" w:sz="4" w:space="0"/>
            </w:tcBorders>
          </w:tcPr>
          <w:p w14:paraId="2EACB545">
            <w:pPr>
              <w:tabs>
                <w:tab w:val="left" w:pos="1418"/>
              </w:tabs>
              <w:snapToGrid w:val="0"/>
              <w:spacing w:line="288" w:lineRule="auto"/>
              <w:jc w:val="center"/>
              <w:rPr>
                <w:rFonts w:ascii="宋体" w:hAnsi="宋体" w:cs="宋体"/>
                <w:color w:val="auto"/>
                <w:spacing w:val="-6"/>
                <w:sz w:val="22"/>
                <w:szCs w:val="22"/>
                <w:highlight w:val="none"/>
              </w:rPr>
            </w:pPr>
          </w:p>
        </w:tc>
        <w:tc>
          <w:tcPr>
            <w:tcW w:w="2321" w:type="dxa"/>
            <w:tcBorders>
              <w:top w:val="single" w:color="auto" w:sz="4" w:space="0"/>
              <w:left w:val="single" w:color="auto" w:sz="4" w:space="0"/>
              <w:bottom w:val="single" w:color="auto" w:sz="4" w:space="0"/>
              <w:right w:val="single" w:color="auto" w:sz="4" w:space="0"/>
            </w:tcBorders>
          </w:tcPr>
          <w:p w14:paraId="63927444">
            <w:pPr>
              <w:tabs>
                <w:tab w:val="left" w:pos="1418"/>
              </w:tabs>
              <w:snapToGrid w:val="0"/>
              <w:spacing w:line="288" w:lineRule="auto"/>
              <w:jc w:val="center"/>
              <w:rPr>
                <w:rFonts w:ascii="宋体" w:hAnsi="宋体" w:cs="宋体"/>
                <w:color w:val="auto"/>
                <w:spacing w:val="-6"/>
                <w:sz w:val="22"/>
                <w:szCs w:val="22"/>
                <w:highlight w:val="none"/>
              </w:rPr>
            </w:pPr>
          </w:p>
        </w:tc>
      </w:tr>
      <w:tr w14:paraId="1A338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14:paraId="634D6FD9">
            <w:pPr>
              <w:tabs>
                <w:tab w:val="left" w:pos="1418"/>
              </w:tabs>
              <w:snapToGrid w:val="0"/>
              <w:spacing w:line="288" w:lineRule="auto"/>
              <w:jc w:val="center"/>
              <w:rPr>
                <w:rFonts w:ascii="宋体" w:hAnsi="宋体" w:cs="宋体"/>
                <w:color w:val="auto"/>
                <w:spacing w:val="-6"/>
                <w:sz w:val="22"/>
                <w:szCs w:val="22"/>
                <w:highlight w:val="none"/>
              </w:rPr>
            </w:pPr>
          </w:p>
        </w:tc>
        <w:tc>
          <w:tcPr>
            <w:tcW w:w="2935" w:type="dxa"/>
            <w:tcBorders>
              <w:top w:val="single" w:color="auto" w:sz="4" w:space="0"/>
              <w:left w:val="single" w:color="auto" w:sz="4" w:space="0"/>
              <w:bottom w:val="single" w:color="auto" w:sz="4" w:space="0"/>
              <w:right w:val="single" w:color="auto" w:sz="4" w:space="0"/>
            </w:tcBorders>
            <w:shd w:val="clear" w:color="auto" w:fill="FFFFFF"/>
            <w:vAlign w:val="center"/>
          </w:tcPr>
          <w:p w14:paraId="47ACD5EB">
            <w:pPr>
              <w:tabs>
                <w:tab w:val="left" w:pos="1418"/>
              </w:tabs>
              <w:snapToGrid w:val="0"/>
              <w:spacing w:line="288" w:lineRule="auto"/>
              <w:jc w:val="center"/>
              <w:rPr>
                <w:rFonts w:ascii="宋体" w:hAnsi="宋体" w:cs="宋体"/>
                <w:color w:val="auto"/>
                <w:spacing w:val="-6"/>
                <w:sz w:val="22"/>
                <w:szCs w:val="22"/>
                <w:highlight w:val="none"/>
              </w:rPr>
            </w:pPr>
          </w:p>
        </w:tc>
        <w:tc>
          <w:tcPr>
            <w:tcW w:w="1303" w:type="dxa"/>
            <w:tcBorders>
              <w:top w:val="single" w:color="auto" w:sz="4" w:space="0"/>
              <w:left w:val="single" w:color="auto" w:sz="4" w:space="0"/>
              <w:bottom w:val="single" w:color="auto" w:sz="4" w:space="0"/>
              <w:right w:val="single" w:color="auto" w:sz="4" w:space="0"/>
            </w:tcBorders>
          </w:tcPr>
          <w:p w14:paraId="1F415E8E">
            <w:pPr>
              <w:tabs>
                <w:tab w:val="left" w:pos="1418"/>
              </w:tabs>
              <w:snapToGrid w:val="0"/>
              <w:spacing w:line="288" w:lineRule="auto"/>
              <w:jc w:val="center"/>
              <w:rPr>
                <w:rFonts w:ascii="宋体" w:hAnsi="宋体" w:cs="宋体"/>
                <w:color w:val="auto"/>
                <w:spacing w:val="-6"/>
                <w:sz w:val="22"/>
                <w:szCs w:val="22"/>
                <w:highlight w:val="none"/>
              </w:rPr>
            </w:pPr>
          </w:p>
        </w:tc>
        <w:tc>
          <w:tcPr>
            <w:tcW w:w="1317" w:type="dxa"/>
            <w:tcBorders>
              <w:top w:val="single" w:color="auto" w:sz="4" w:space="0"/>
              <w:left w:val="single" w:color="auto" w:sz="4" w:space="0"/>
              <w:bottom w:val="single" w:color="auto" w:sz="4" w:space="0"/>
              <w:right w:val="single" w:color="auto" w:sz="4" w:space="0"/>
            </w:tcBorders>
          </w:tcPr>
          <w:p w14:paraId="2C5BDFA0">
            <w:pPr>
              <w:tabs>
                <w:tab w:val="left" w:pos="1418"/>
              </w:tabs>
              <w:snapToGrid w:val="0"/>
              <w:spacing w:line="288" w:lineRule="auto"/>
              <w:jc w:val="center"/>
              <w:rPr>
                <w:rFonts w:ascii="宋体" w:hAnsi="宋体" w:cs="宋体"/>
                <w:color w:val="auto"/>
                <w:spacing w:val="-6"/>
                <w:sz w:val="22"/>
                <w:szCs w:val="22"/>
                <w:highlight w:val="none"/>
              </w:rPr>
            </w:pPr>
          </w:p>
        </w:tc>
        <w:tc>
          <w:tcPr>
            <w:tcW w:w="1077" w:type="dxa"/>
            <w:tcBorders>
              <w:top w:val="single" w:color="auto" w:sz="4" w:space="0"/>
              <w:left w:val="single" w:color="auto" w:sz="4" w:space="0"/>
              <w:bottom w:val="single" w:color="auto" w:sz="4" w:space="0"/>
              <w:right w:val="single" w:color="auto" w:sz="4" w:space="0"/>
            </w:tcBorders>
          </w:tcPr>
          <w:p w14:paraId="7A0DDE58">
            <w:pPr>
              <w:tabs>
                <w:tab w:val="left" w:pos="1418"/>
              </w:tabs>
              <w:snapToGrid w:val="0"/>
              <w:spacing w:line="288" w:lineRule="auto"/>
              <w:jc w:val="center"/>
              <w:rPr>
                <w:rFonts w:ascii="宋体" w:hAnsi="宋体" w:cs="宋体"/>
                <w:color w:val="auto"/>
                <w:spacing w:val="-6"/>
                <w:sz w:val="22"/>
                <w:szCs w:val="22"/>
                <w:highlight w:val="none"/>
              </w:rPr>
            </w:pPr>
          </w:p>
        </w:tc>
        <w:tc>
          <w:tcPr>
            <w:tcW w:w="2321" w:type="dxa"/>
            <w:tcBorders>
              <w:top w:val="single" w:color="auto" w:sz="4" w:space="0"/>
              <w:left w:val="single" w:color="auto" w:sz="4" w:space="0"/>
              <w:bottom w:val="single" w:color="auto" w:sz="4" w:space="0"/>
              <w:right w:val="single" w:color="auto" w:sz="4" w:space="0"/>
            </w:tcBorders>
          </w:tcPr>
          <w:p w14:paraId="7CBC7B26">
            <w:pPr>
              <w:tabs>
                <w:tab w:val="left" w:pos="1418"/>
              </w:tabs>
              <w:snapToGrid w:val="0"/>
              <w:spacing w:line="288" w:lineRule="auto"/>
              <w:jc w:val="center"/>
              <w:rPr>
                <w:rFonts w:ascii="宋体" w:hAnsi="宋体" w:cs="宋体"/>
                <w:color w:val="auto"/>
                <w:spacing w:val="-6"/>
                <w:sz w:val="22"/>
                <w:szCs w:val="22"/>
                <w:highlight w:val="none"/>
              </w:rPr>
            </w:pPr>
          </w:p>
        </w:tc>
      </w:tr>
      <w:tr w14:paraId="70EA5E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05" w:type="dxa"/>
            <w:gridSpan w:val="5"/>
            <w:tcBorders>
              <w:top w:val="single" w:color="auto" w:sz="4" w:space="0"/>
              <w:left w:val="single" w:color="auto" w:sz="4" w:space="0"/>
              <w:bottom w:val="single" w:color="auto" w:sz="4" w:space="0"/>
              <w:right w:val="single" w:color="auto" w:sz="4" w:space="0"/>
            </w:tcBorders>
          </w:tcPr>
          <w:p w14:paraId="60E4E08F">
            <w:pPr>
              <w:tabs>
                <w:tab w:val="left" w:pos="1418"/>
              </w:tabs>
              <w:snapToGrid w:val="0"/>
              <w:spacing w:line="288" w:lineRule="auto"/>
              <w:jc w:val="left"/>
              <w:rPr>
                <w:rFonts w:ascii="宋体" w:hAnsi="宋体" w:cs="宋体"/>
                <w:color w:val="auto"/>
                <w:spacing w:val="-6"/>
                <w:sz w:val="22"/>
                <w:szCs w:val="22"/>
                <w:highlight w:val="none"/>
                <w:u w:val="single"/>
              </w:rPr>
            </w:pPr>
            <w:r>
              <w:rPr>
                <w:rFonts w:hint="eastAsia" w:ascii="宋体" w:hAnsi="宋体" w:cs="宋体"/>
                <w:color w:val="auto"/>
                <w:spacing w:val="-6"/>
                <w:sz w:val="22"/>
                <w:szCs w:val="22"/>
                <w:highlight w:val="none"/>
              </w:rPr>
              <w:t>投标响应总价：小写：</w:t>
            </w:r>
          </w:p>
          <w:p w14:paraId="40B1C8AB">
            <w:pPr>
              <w:tabs>
                <w:tab w:val="left" w:pos="1418"/>
              </w:tabs>
              <w:snapToGrid w:val="0"/>
              <w:spacing w:line="288" w:lineRule="auto"/>
              <w:ind w:firstLine="1456" w:firstLineChars="700"/>
              <w:jc w:val="left"/>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大写：</w:t>
            </w:r>
          </w:p>
        </w:tc>
        <w:tc>
          <w:tcPr>
            <w:tcW w:w="2321" w:type="dxa"/>
            <w:tcBorders>
              <w:top w:val="single" w:color="auto" w:sz="4" w:space="0"/>
              <w:left w:val="single" w:color="auto" w:sz="4" w:space="0"/>
              <w:bottom w:val="single" w:color="auto" w:sz="4" w:space="0"/>
              <w:right w:val="single" w:color="auto" w:sz="4" w:space="0"/>
            </w:tcBorders>
          </w:tcPr>
          <w:p w14:paraId="3930D5E0">
            <w:pPr>
              <w:tabs>
                <w:tab w:val="left" w:pos="1418"/>
              </w:tabs>
              <w:snapToGrid w:val="0"/>
              <w:spacing w:line="288" w:lineRule="auto"/>
              <w:ind w:firstLine="1456" w:firstLineChars="700"/>
              <w:jc w:val="left"/>
              <w:rPr>
                <w:rFonts w:hint="eastAsia" w:ascii="宋体" w:hAnsi="宋体" w:cs="宋体"/>
                <w:color w:val="auto"/>
                <w:spacing w:val="-6"/>
                <w:sz w:val="22"/>
                <w:szCs w:val="22"/>
                <w:highlight w:val="none"/>
              </w:rPr>
            </w:pPr>
          </w:p>
        </w:tc>
      </w:tr>
    </w:tbl>
    <w:p w14:paraId="74212F44">
      <w:pPr>
        <w:spacing w:line="440" w:lineRule="exact"/>
        <w:rPr>
          <w:rFonts w:ascii="宋体" w:hAnsi="宋体"/>
          <w:color w:val="auto"/>
          <w:sz w:val="22"/>
          <w:szCs w:val="22"/>
          <w:highlight w:val="none"/>
        </w:rPr>
      </w:pPr>
      <w:r>
        <w:rPr>
          <w:rFonts w:hint="eastAsia" w:ascii="宋体" w:hAnsi="宋体"/>
          <w:b/>
          <w:bCs/>
          <w:color w:val="auto"/>
          <w:sz w:val="22"/>
          <w:szCs w:val="22"/>
          <w:highlight w:val="none"/>
        </w:rPr>
        <w:t>说明：</w:t>
      </w:r>
      <w:r>
        <w:rPr>
          <w:rFonts w:hint="eastAsia" w:ascii="宋体" w:hAnsi="宋体"/>
          <w:color w:val="auto"/>
          <w:sz w:val="22"/>
          <w:szCs w:val="22"/>
          <w:highlight w:val="none"/>
        </w:rPr>
        <w:t>1.不提供详细分项报价将视为没有实质性响应招标文件。</w:t>
      </w:r>
    </w:p>
    <w:p w14:paraId="2DD7CF10">
      <w:pPr>
        <w:spacing w:line="440" w:lineRule="exact"/>
        <w:ind w:firstLine="720"/>
        <w:rPr>
          <w:rFonts w:ascii="宋体" w:hAnsi="宋体"/>
          <w:color w:val="auto"/>
          <w:sz w:val="22"/>
          <w:szCs w:val="22"/>
          <w:highlight w:val="none"/>
        </w:rPr>
      </w:pPr>
      <w:r>
        <w:rPr>
          <w:rFonts w:hint="eastAsia" w:ascii="宋体" w:hAnsi="宋体"/>
          <w:color w:val="auto"/>
          <w:sz w:val="22"/>
          <w:szCs w:val="22"/>
          <w:highlight w:val="none"/>
        </w:rPr>
        <w:t>2.此表的</w:t>
      </w:r>
      <w:r>
        <w:rPr>
          <w:rFonts w:hint="eastAsia" w:ascii="宋体" w:hAnsi="宋体"/>
          <w:bCs/>
          <w:color w:val="auto"/>
          <w:sz w:val="22"/>
          <w:szCs w:val="22"/>
          <w:highlight w:val="none"/>
        </w:rPr>
        <w:t>总计</w:t>
      </w:r>
      <w:r>
        <w:rPr>
          <w:rFonts w:hint="eastAsia" w:ascii="宋体" w:hAnsi="宋体"/>
          <w:color w:val="auto"/>
          <w:sz w:val="22"/>
          <w:szCs w:val="22"/>
          <w:highlight w:val="none"/>
        </w:rPr>
        <w:t>价应与附件二“投标报价一览表”对应投标报价相一致。</w:t>
      </w:r>
    </w:p>
    <w:p w14:paraId="23C03F68">
      <w:pPr>
        <w:spacing w:line="440" w:lineRule="exact"/>
        <w:ind w:firstLine="720"/>
        <w:rPr>
          <w:rFonts w:ascii="宋体" w:hAnsi="宋体"/>
          <w:color w:val="auto"/>
          <w:sz w:val="22"/>
          <w:szCs w:val="22"/>
          <w:highlight w:val="none"/>
        </w:rPr>
      </w:pPr>
      <w:r>
        <w:rPr>
          <w:rFonts w:hint="eastAsia" w:ascii="宋体" w:hAnsi="宋体"/>
          <w:color w:val="auto"/>
          <w:sz w:val="22"/>
          <w:szCs w:val="22"/>
          <w:highlight w:val="none"/>
        </w:rPr>
        <w:t>3.如果免费请在该备注栏内注明“免”，如果含在产品价格中则填“含”，如无此项内容则填“无”，不留空白。</w:t>
      </w:r>
    </w:p>
    <w:p w14:paraId="176E688D">
      <w:pPr>
        <w:pStyle w:val="16"/>
        <w:ind w:firstLine="560"/>
        <w:rPr>
          <w:rFonts w:ascii="仿宋_GB2312"/>
          <w:color w:val="auto"/>
          <w:sz w:val="28"/>
          <w:szCs w:val="28"/>
          <w:highlight w:val="none"/>
        </w:rPr>
      </w:pPr>
    </w:p>
    <w:p w14:paraId="4BD88FA7">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投标人全称（电子签名/公章）：</w:t>
      </w:r>
    </w:p>
    <w:p w14:paraId="43E47D2A">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日 期：       年     月     日</w:t>
      </w:r>
    </w:p>
    <w:p w14:paraId="2FCB1A39">
      <w:pPr>
        <w:pStyle w:val="3"/>
        <w:spacing w:line="240" w:lineRule="auto"/>
        <w:rPr>
          <w:rFonts w:ascii="宋体" w:hAnsi="宋体" w:cs="宋体"/>
          <w:color w:val="auto"/>
          <w:sz w:val="24"/>
          <w:highlight w:val="none"/>
        </w:rPr>
      </w:pPr>
      <w:r>
        <w:rPr>
          <w:rFonts w:hint="eastAsia" w:ascii="宋体" w:hAnsi="宋体" w:cs="宋体"/>
          <w:color w:val="auto"/>
          <w:sz w:val="22"/>
          <w:szCs w:val="22"/>
          <w:highlight w:val="none"/>
        </w:rPr>
        <w:br w:type="page"/>
      </w:r>
      <w:bookmarkEnd w:id="164"/>
      <w:bookmarkEnd w:id="165"/>
      <w:bookmarkEnd w:id="166"/>
      <w:bookmarkEnd w:id="167"/>
      <w:bookmarkStart w:id="171" w:name="_Toc17040"/>
      <w:r>
        <w:rPr>
          <w:rFonts w:hint="eastAsia" w:ascii="宋体" w:hAnsi="宋体" w:eastAsia="宋体"/>
          <w:color w:val="auto"/>
          <w:sz w:val="24"/>
          <w:szCs w:val="24"/>
          <w:highlight w:val="none"/>
        </w:rPr>
        <w:t>附件四 资格证明文件</w:t>
      </w:r>
      <w:bookmarkEnd w:id="168"/>
      <w:bookmarkEnd w:id="171"/>
    </w:p>
    <w:p w14:paraId="3C5867BA">
      <w:pPr>
        <w:jc w:val="center"/>
        <w:rPr>
          <w:rFonts w:ascii="宋体" w:hAnsi="宋体" w:cs="宋体"/>
          <w:b/>
          <w:color w:val="auto"/>
          <w:sz w:val="28"/>
          <w:szCs w:val="28"/>
          <w:highlight w:val="none"/>
        </w:rPr>
      </w:pPr>
      <w:r>
        <w:rPr>
          <w:rFonts w:hint="eastAsia" w:ascii="宋体" w:hAnsi="宋体" w:cs="宋体"/>
          <w:b/>
          <w:color w:val="auto"/>
          <w:sz w:val="28"/>
          <w:szCs w:val="28"/>
          <w:highlight w:val="none"/>
        </w:rPr>
        <w:t>资格证明文件</w:t>
      </w:r>
    </w:p>
    <w:p w14:paraId="4E0A0ED6">
      <w:pPr>
        <w:spacing w:line="440" w:lineRule="exact"/>
        <w:jc w:val="center"/>
        <w:rPr>
          <w:rFonts w:ascii="宋体" w:hAnsi="宋体" w:cs="宋体"/>
          <w:b/>
          <w:color w:val="auto"/>
          <w:szCs w:val="22"/>
          <w:highlight w:val="none"/>
        </w:rPr>
      </w:pPr>
      <w:r>
        <w:rPr>
          <w:rFonts w:hint="eastAsia" w:ascii="宋体" w:hAnsi="宋体" w:cs="宋体"/>
          <w:b/>
          <w:color w:val="auto"/>
          <w:sz w:val="24"/>
          <w:highlight w:val="none"/>
        </w:rPr>
        <w:t>（1）法定代表人、单位负责人或自然人本人的身份证明（适用于法定代表人、单位负责人或者自然人本人代表投标人参加投标）</w:t>
      </w:r>
    </w:p>
    <w:p w14:paraId="584B5DAA">
      <w:pPr>
        <w:autoSpaceDE w:val="0"/>
        <w:autoSpaceDN w:val="0"/>
        <w:adjustRightInd w:val="0"/>
        <w:rPr>
          <w:rFonts w:ascii="宋体" w:hAnsi="宋体" w:cs="宋体"/>
          <w:color w:val="auto"/>
          <w:sz w:val="22"/>
          <w:szCs w:val="22"/>
          <w:highlight w:val="none"/>
        </w:rPr>
      </w:pPr>
    </w:p>
    <w:p w14:paraId="25CA0862">
      <w:pPr>
        <w:autoSpaceDE w:val="0"/>
        <w:autoSpaceDN w:val="0"/>
        <w:adjustRightIn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投标人名称：</w:t>
      </w:r>
      <w:r>
        <w:rPr>
          <w:rFonts w:hint="eastAsia" w:ascii="宋体" w:hAnsi="宋体" w:cs="宋体"/>
          <w:color w:val="auto"/>
          <w:sz w:val="22"/>
          <w:szCs w:val="22"/>
          <w:highlight w:val="none"/>
          <w:u w:val="single"/>
        </w:rPr>
        <w:t xml:space="preserve">                                </w:t>
      </w:r>
    </w:p>
    <w:p w14:paraId="454A180E">
      <w:pPr>
        <w:autoSpaceDE w:val="0"/>
        <w:autoSpaceDN w:val="0"/>
        <w:adjustRightIn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单位性质： </w:t>
      </w:r>
      <w:r>
        <w:rPr>
          <w:rFonts w:hint="eastAsia" w:ascii="宋体" w:hAnsi="宋体" w:cs="宋体"/>
          <w:color w:val="auto"/>
          <w:sz w:val="22"/>
          <w:szCs w:val="22"/>
          <w:highlight w:val="none"/>
          <w:u w:val="single"/>
        </w:rPr>
        <w:t xml:space="preserve">                                </w:t>
      </w:r>
    </w:p>
    <w:p w14:paraId="0F711BCC">
      <w:pPr>
        <w:autoSpaceDE w:val="0"/>
        <w:autoSpaceDN w:val="0"/>
        <w:adjustRightIn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地    址：</w:t>
      </w:r>
      <w:r>
        <w:rPr>
          <w:rFonts w:hint="eastAsia" w:ascii="宋体" w:hAnsi="宋体" w:cs="宋体"/>
          <w:color w:val="auto"/>
          <w:sz w:val="22"/>
          <w:szCs w:val="22"/>
          <w:highlight w:val="none"/>
          <w:u w:val="single"/>
        </w:rPr>
        <w:t xml:space="preserve">                                </w:t>
      </w:r>
    </w:p>
    <w:p w14:paraId="334AC17A">
      <w:pPr>
        <w:autoSpaceDE w:val="0"/>
        <w:autoSpaceDN w:val="0"/>
        <w:adjustRightIn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成立时间：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r>
        <w:rPr>
          <w:rFonts w:hint="eastAsia" w:ascii="宋体" w:hAnsi="宋体" w:cs="宋体"/>
          <w:color w:val="auto"/>
          <w:sz w:val="22"/>
          <w:szCs w:val="22"/>
          <w:highlight w:val="none"/>
        </w:rPr>
        <w:tab/>
      </w:r>
    </w:p>
    <w:p w14:paraId="373D26DC">
      <w:pPr>
        <w:autoSpaceDE w:val="0"/>
        <w:autoSpaceDN w:val="0"/>
        <w:adjustRightIn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经营期限：</w:t>
      </w:r>
      <w:r>
        <w:rPr>
          <w:rFonts w:hint="eastAsia" w:ascii="宋体" w:hAnsi="宋体" w:cs="宋体"/>
          <w:color w:val="auto"/>
          <w:sz w:val="22"/>
          <w:szCs w:val="22"/>
          <w:highlight w:val="none"/>
          <w:u w:val="single"/>
        </w:rPr>
        <w:t xml:space="preserve">                                </w:t>
      </w:r>
    </w:p>
    <w:p w14:paraId="7E11DA4C">
      <w:pPr>
        <w:autoSpaceDE w:val="0"/>
        <w:autoSpaceDN w:val="0"/>
        <w:adjustRightIn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姓    名：</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性别：</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职务：</w:t>
      </w:r>
      <w:r>
        <w:rPr>
          <w:rFonts w:hint="eastAsia" w:ascii="宋体" w:hAnsi="宋体" w:cs="宋体"/>
          <w:color w:val="auto"/>
          <w:sz w:val="22"/>
          <w:szCs w:val="22"/>
          <w:highlight w:val="none"/>
          <w:u w:val="single"/>
        </w:rPr>
        <w:t xml:space="preserve">        </w:t>
      </w:r>
    </w:p>
    <w:p w14:paraId="7D60C96E">
      <w:pPr>
        <w:autoSpaceDE w:val="0"/>
        <w:autoSpaceDN w:val="0"/>
        <w:adjustRightIn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系：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（投标人名称）的法定代表人</w:t>
      </w:r>
    </w:p>
    <w:p w14:paraId="1904AB91">
      <w:pPr>
        <w:autoSpaceDE w:val="0"/>
        <w:autoSpaceDN w:val="0"/>
        <w:adjustRightIn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特此证明</w:t>
      </w:r>
    </w:p>
    <w:p w14:paraId="3FFBC1DA">
      <w:pPr>
        <w:autoSpaceDE w:val="0"/>
        <w:autoSpaceDN w:val="0"/>
        <w:adjustRightInd w:val="0"/>
        <w:spacing w:line="440" w:lineRule="exact"/>
        <w:rPr>
          <w:rFonts w:ascii="宋体" w:hAnsi="宋体" w:cs="宋体"/>
          <w:color w:val="auto"/>
          <w:sz w:val="22"/>
          <w:szCs w:val="22"/>
          <w:highlight w:val="none"/>
        </w:rPr>
      </w:pPr>
    </w:p>
    <w:p w14:paraId="47D7966A">
      <w:pPr>
        <w:autoSpaceDE w:val="0"/>
        <w:autoSpaceDN w:val="0"/>
        <w:adjustRightInd w:val="0"/>
        <w:spacing w:line="440" w:lineRule="exact"/>
        <w:rPr>
          <w:rFonts w:ascii="宋体" w:hAnsi="宋体" w:cs="宋体"/>
          <w:color w:val="auto"/>
          <w:sz w:val="22"/>
          <w:szCs w:val="22"/>
          <w:highlight w:val="none"/>
        </w:rPr>
      </w:pPr>
    </w:p>
    <w:p w14:paraId="20F9A71E">
      <w:pPr>
        <w:autoSpaceDE w:val="0"/>
        <w:autoSpaceDN w:val="0"/>
        <w:adjustRightInd w:val="0"/>
        <w:spacing w:line="440" w:lineRule="exact"/>
        <w:rPr>
          <w:rFonts w:ascii="宋体" w:hAnsi="宋体" w:cs="宋体"/>
          <w:color w:val="auto"/>
          <w:sz w:val="22"/>
          <w:szCs w:val="22"/>
          <w:highlight w:val="none"/>
        </w:rPr>
      </w:pPr>
    </w:p>
    <w:p w14:paraId="079ACD39">
      <w:pPr>
        <w:autoSpaceDE w:val="0"/>
        <w:autoSpaceDN w:val="0"/>
        <w:adjustRightInd w:val="0"/>
        <w:spacing w:line="440" w:lineRule="exact"/>
        <w:jc w:val="right"/>
        <w:rPr>
          <w:rFonts w:ascii="宋体" w:hAnsi="宋体" w:cs="宋体"/>
          <w:color w:val="auto"/>
          <w:sz w:val="22"/>
          <w:szCs w:val="22"/>
          <w:highlight w:val="none"/>
        </w:rPr>
      </w:pPr>
      <w:r>
        <w:rPr>
          <w:rFonts w:hint="eastAsia" w:ascii="宋体" w:hAnsi="宋体" w:cs="宋体"/>
          <w:color w:val="auto"/>
          <w:sz w:val="22"/>
          <w:szCs w:val="22"/>
          <w:highlight w:val="none"/>
        </w:rPr>
        <w:t>投标人：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（盖单位章）</w:t>
      </w:r>
    </w:p>
    <w:p w14:paraId="32302CFF">
      <w:pPr>
        <w:wordWrap w:val="0"/>
        <w:autoSpaceDE w:val="0"/>
        <w:autoSpaceDN w:val="0"/>
        <w:adjustRightInd w:val="0"/>
        <w:spacing w:line="440" w:lineRule="exact"/>
        <w:ind w:firstLine="1650" w:firstLineChars="750"/>
        <w:jc w:val="right"/>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14:paraId="6DADAFD8">
      <w:pPr>
        <w:autoSpaceDE w:val="0"/>
        <w:autoSpaceDN w:val="0"/>
        <w:adjustRightInd w:val="0"/>
        <w:jc w:val="left"/>
        <w:rPr>
          <w:rFonts w:ascii="宋体" w:hAnsi="宋体" w:cs="宋体"/>
          <w:color w:val="auto"/>
          <w:sz w:val="22"/>
          <w:szCs w:val="22"/>
          <w:highlight w:val="none"/>
        </w:rPr>
      </w:pPr>
    </w:p>
    <w:p w14:paraId="259B4DA2">
      <w:pPr>
        <w:spacing w:line="380" w:lineRule="exact"/>
        <w:jc w:val="center"/>
        <w:rPr>
          <w:rFonts w:ascii="宋体" w:hAnsi="宋体" w:cs="宋体"/>
          <w:b/>
          <w:color w:val="auto"/>
          <w:sz w:val="24"/>
          <w:highlight w:val="none"/>
        </w:rPr>
      </w:pPr>
    </w:p>
    <w:p w14:paraId="44EF1D73">
      <w:pPr>
        <w:spacing w:line="380" w:lineRule="exact"/>
        <w:rPr>
          <w:rFonts w:ascii="宋体" w:hAnsi="宋体" w:cs="宋体"/>
          <w:b/>
          <w:color w:val="auto"/>
          <w:sz w:val="24"/>
          <w:highlight w:val="none"/>
        </w:rPr>
      </w:pPr>
      <w:r>
        <w:rPr>
          <w:rFonts w:hint="eastAsia" w:ascii="宋体" w:hAnsi="宋体" w:cs="宋体"/>
          <w:b/>
          <w:color w:val="auto"/>
          <w:sz w:val="24"/>
          <w:highlight w:val="none"/>
        </w:rPr>
        <w:t>附：法定代表人身份证明</w:t>
      </w:r>
    </w:p>
    <w:p w14:paraId="78A1F3D7">
      <w:pPr>
        <w:spacing w:line="380" w:lineRule="exact"/>
        <w:rPr>
          <w:rFonts w:ascii="宋体" w:hAnsi="宋体" w:cs="宋体"/>
          <w:b/>
          <w:color w:val="auto"/>
          <w:sz w:val="24"/>
          <w:highlight w:val="none"/>
        </w:rPr>
      </w:pPr>
    </w:p>
    <w:tbl>
      <w:tblPr>
        <w:tblStyle w:val="39"/>
        <w:tblpPr w:leftFromText="180" w:rightFromText="180" w:vertAnchor="text" w:horzAnchor="margin" w:tblpXSpec="right" w:tblpY="100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5585C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9854" w:type="dxa"/>
          </w:tcPr>
          <w:p w14:paraId="6A588A67">
            <w:pPr>
              <w:spacing w:line="440" w:lineRule="exact"/>
              <w:rPr>
                <w:rFonts w:ascii="宋体" w:hAnsi="宋体" w:cs="宋体"/>
                <w:color w:val="auto"/>
                <w:sz w:val="22"/>
                <w:szCs w:val="22"/>
                <w:highlight w:val="none"/>
              </w:rPr>
            </w:pPr>
          </w:p>
          <w:p w14:paraId="1BA843C7">
            <w:pPr>
              <w:spacing w:line="440" w:lineRule="exact"/>
              <w:rPr>
                <w:rFonts w:ascii="宋体" w:hAnsi="宋体" w:cs="宋体"/>
                <w:color w:val="auto"/>
                <w:sz w:val="22"/>
                <w:szCs w:val="22"/>
                <w:highlight w:val="none"/>
              </w:rPr>
            </w:pPr>
          </w:p>
          <w:p w14:paraId="5C8A58FB">
            <w:pPr>
              <w:spacing w:line="440" w:lineRule="exact"/>
              <w:rPr>
                <w:rFonts w:ascii="宋体" w:hAnsi="宋体" w:cs="宋体"/>
                <w:color w:val="auto"/>
                <w:sz w:val="22"/>
                <w:szCs w:val="22"/>
                <w:highlight w:val="none"/>
              </w:rPr>
            </w:pPr>
          </w:p>
          <w:p w14:paraId="34874990">
            <w:pPr>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法人代表身份证复印件</w:t>
            </w:r>
          </w:p>
          <w:p w14:paraId="1DDB6EC9">
            <w:pPr>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（粘贴处）</w:t>
            </w:r>
          </w:p>
        </w:tc>
      </w:tr>
    </w:tbl>
    <w:p w14:paraId="4258E9E8">
      <w:pPr>
        <w:spacing w:line="380" w:lineRule="exact"/>
        <w:jc w:val="center"/>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（2）法定代表人授权书</w:t>
      </w:r>
    </w:p>
    <w:p w14:paraId="7089FCD7">
      <w:pPr>
        <w:spacing w:line="460" w:lineRule="exact"/>
        <w:rPr>
          <w:rFonts w:ascii="宋体" w:hAnsi="宋体" w:cs="宋体"/>
          <w:color w:val="auto"/>
          <w:sz w:val="22"/>
          <w:szCs w:val="22"/>
          <w:highlight w:val="none"/>
        </w:rPr>
      </w:pPr>
    </w:p>
    <w:p w14:paraId="4789F432">
      <w:pPr>
        <w:spacing w:line="460" w:lineRule="exact"/>
        <w:rPr>
          <w:rFonts w:ascii="宋体" w:hAnsi="宋体" w:cs="宋体"/>
          <w:b/>
          <w:color w:val="auto"/>
          <w:sz w:val="24"/>
          <w:highlight w:val="none"/>
        </w:rPr>
      </w:pPr>
      <w:r>
        <w:rPr>
          <w:rFonts w:hint="eastAsia" w:ascii="宋体" w:hAnsi="宋体" w:cs="宋体"/>
          <w:b/>
          <w:color w:val="auto"/>
          <w:sz w:val="24"/>
          <w:highlight w:val="none"/>
        </w:rPr>
        <w:t>浙江安防职业技术学院：</w:t>
      </w:r>
    </w:p>
    <w:p w14:paraId="6598D330">
      <w:pPr>
        <w:spacing w:line="440" w:lineRule="exact"/>
        <w:rPr>
          <w:rFonts w:ascii="宋体" w:hAnsi="宋体" w:cs="宋体"/>
          <w:color w:val="auto"/>
          <w:sz w:val="22"/>
          <w:szCs w:val="22"/>
          <w:highlight w:val="none"/>
          <w:u w:val="single"/>
        </w:rPr>
      </w:pPr>
    </w:p>
    <w:p w14:paraId="0FC9B7AA">
      <w:pPr>
        <w:spacing w:line="440" w:lineRule="exact"/>
        <w:ind w:firstLine="550" w:firstLineChars="250"/>
        <w:rPr>
          <w:rFonts w:ascii="宋体" w:hAnsi="宋体" w:cs="宋体"/>
          <w:color w:val="auto"/>
          <w:sz w:val="22"/>
          <w:szCs w:val="22"/>
          <w:highlight w:val="none"/>
        </w:rPr>
      </w:pPr>
      <w:r>
        <w:rPr>
          <w:rFonts w:hint="eastAsia" w:ascii="宋体" w:hAnsi="宋体" w:cs="宋体"/>
          <w:color w:val="auto"/>
          <w:sz w:val="22"/>
          <w:szCs w:val="22"/>
          <w:highlight w:val="none"/>
          <w:u w:val="single"/>
        </w:rPr>
        <w:t xml:space="preserve">本人       </w:t>
      </w:r>
      <w:r>
        <w:rPr>
          <w:rFonts w:hint="eastAsia" w:ascii="宋体" w:hAnsi="宋体" w:cs="宋体"/>
          <w:color w:val="auto"/>
          <w:sz w:val="22"/>
          <w:szCs w:val="22"/>
          <w:highlight w:val="none"/>
        </w:rPr>
        <w:t>（姓名）系</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（投标人全称）的法定代表人，现委托</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（全权代表姓名）为我方授权代表。代理人根据授权，以我方名义签署、澄清、说明、补正、递交、撤回、修改</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（项目名称、编号）投标文件、签订合同和处理有关事宜，其法律后果由我方承担。</w:t>
      </w:r>
    </w:p>
    <w:p w14:paraId="07B0ECF0">
      <w:pPr>
        <w:spacing w:line="440" w:lineRule="exact"/>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    委托期限：</w:t>
      </w:r>
      <w:r>
        <w:rPr>
          <w:rFonts w:hint="eastAsia" w:ascii="宋体" w:hAnsi="宋体" w:cs="宋体"/>
          <w:color w:val="auto"/>
          <w:sz w:val="22"/>
          <w:szCs w:val="22"/>
          <w:highlight w:val="none"/>
          <w:u w:val="single"/>
        </w:rPr>
        <w:t xml:space="preserve">       </w:t>
      </w:r>
      <w:r>
        <w:rPr>
          <w:rFonts w:ascii="宋体" w:hAnsi="宋体" w:cs="宋体"/>
          <w:color w:val="auto"/>
          <w:sz w:val="22"/>
          <w:szCs w:val="22"/>
          <w:highlight w:val="none"/>
          <w:u w:val="single"/>
        </w:rPr>
        <w:t xml:space="preserve">                            </w:t>
      </w:r>
    </w:p>
    <w:p w14:paraId="03C0A23E">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代理人无转委托权。</w:t>
      </w:r>
    </w:p>
    <w:p w14:paraId="149CA634">
      <w:pPr>
        <w:spacing w:line="440" w:lineRule="exact"/>
        <w:ind w:firstLine="550" w:firstLineChars="250"/>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▲投标人代表不是法定代表人（单位负责人、自然人本人）的，提供本授权委托书和授权代表社保缴纳证明（本项目投标文件提交截止时间止近一年任意一月）；</w:t>
      </w:r>
    </w:p>
    <w:p w14:paraId="21F453B4">
      <w:pPr>
        <w:spacing w:line="440" w:lineRule="exact"/>
        <w:ind w:firstLine="550" w:firstLineChars="250"/>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▲投标人委派不在本单位缴纳社保的人员作为授权代表的，应当在投标文件中，说明具体原因、授权代表缴纳社保的单位，并附列该授权代表缴纳社保证明（本项目投标文件提交截止时间止近一年任意一月）。</w:t>
      </w:r>
    </w:p>
    <w:p w14:paraId="6B6F87B5">
      <w:pPr>
        <w:spacing w:line="440" w:lineRule="exact"/>
        <w:ind w:firstLine="2955"/>
        <w:rPr>
          <w:rFonts w:ascii="宋体" w:hAnsi="宋体" w:cs="宋体"/>
          <w:color w:val="auto"/>
          <w:sz w:val="22"/>
          <w:szCs w:val="22"/>
          <w:highlight w:val="none"/>
        </w:rPr>
      </w:pPr>
    </w:p>
    <w:p w14:paraId="1BC901FB">
      <w:pPr>
        <w:spacing w:line="440" w:lineRule="exact"/>
        <w:ind w:firstLine="4180" w:firstLineChars="1900"/>
        <w:rPr>
          <w:rFonts w:ascii="宋体" w:hAnsi="宋体" w:cs="宋体"/>
          <w:color w:val="auto"/>
          <w:sz w:val="22"/>
          <w:szCs w:val="22"/>
          <w:highlight w:val="none"/>
        </w:rPr>
      </w:pPr>
      <w:r>
        <w:rPr>
          <w:rFonts w:hint="eastAsia" w:ascii="宋体" w:hAnsi="宋体" w:cs="宋体"/>
          <w:color w:val="auto"/>
          <w:sz w:val="22"/>
          <w:szCs w:val="22"/>
          <w:highlight w:val="none"/>
        </w:rPr>
        <w:t>法定代表人（签字/电子签字）：</w:t>
      </w:r>
    </w:p>
    <w:p w14:paraId="5DC9A3A7">
      <w:pPr>
        <w:spacing w:line="44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投标人全称（电子签名/公章）：</w:t>
      </w:r>
    </w:p>
    <w:p w14:paraId="1E988692">
      <w:pPr>
        <w:spacing w:line="44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日期：      年    月    日</w:t>
      </w:r>
    </w:p>
    <w:p w14:paraId="5C5276D3">
      <w:pPr>
        <w:spacing w:line="440" w:lineRule="exact"/>
        <w:rPr>
          <w:rFonts w:ascii="宋体" w:hAnsi="宋体" w:cs="宋体"/>
          <w:color w:val="auto"/>
          <w:sz w:val="22"/>
          <w:szCs w:val="22"/>
          <w:highlight w:val="none"/>
        </w:rPr>
      </w:pPr>
    </w:p>
    <w:p w14:paraId="15C3EBCE">
      <w:pPr>
        <w:spacing w:line="440" w:lineRule="exact"/>
        <w:rPr>
          <w:rFonts w:ascii="宋体" w:hAnsi="宋体" w:cs="宋体"/>
          <w:color w:val="auto"/>
          <w:sz w:val="22"/>
          <w:szCs w:val="22"/>
          <w:highlight w:val="none"/>
        </w:rPr>
      </w:pPr>
    </w:p>
    <w:p w14:paraId="5FD2AFC7">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附：</w:t>
      </w:r>
    </w:p>
    <w:p w14:paraId="0645A5E9">
      <w:pPr>
        <w:spacing w:line="44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授权代表姓名：</w:t>
      </w:r>
    </w:p>
    <w:p w14:paraId="7A69EB10">
      <w:pPr>
        <w:spacing w:line="44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身份证号码：</w:t>
      </w:r>
    </w:p>
    <w:p w14:paraId="0DD33F15">
      <w:pPr>
        <w:spacing w:line="44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职务：</w:t>
      </w:r>
    </w:p>
    <w:p w14:paraId="5954925D">
      <w:pPr>
        <w:spacing w:line="44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手机号码：</w:t>
      </w:r>
    </w:p>
    <w:p w14:paraId="611E3DBB">
      <w:pPr>
        <w:spacing w:line="440" w:lineRule="exact"/>
        <w:rPr>
          <w:rFonts w:ascii="宋体" w:hAnsi="宋体" w:cs="宋体"/>
          <w:color w:val="auto"/>
          <w:sz w:val="22"/>
          <w:szCs w:val="22"/>
          <w:highlight w:val="none"/>
        </w:rPr>
      </w:pPr>
      <w:r>
        <w:rPr>
          <w:rFonts w:hint="eastAsia" w:ascii="宋体" w:hAnsi="宋体" w:cs="宋体"/>
          <w:b/>
          <w:color w:val="auto"/>
          <w:sz w:val="24"/>
          <w:highlight w:val="none"/>
        </w:rPr>
        <w:t>附：授权代表身份证明</w:t>
      </w:r>
    </w:p>
    <w:tbl>
      <w:tblPr>
        <w:tblStyle w:val="39"/>
        <w:tblW w:w="97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7"/>
      </w:tblGrid>
      <w:tr w14:paraId="3FF3C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trPr>
        <w:tc>
          <w:tcPr>
            <w:tcW w:w="9727" w:type="dxa"/>
          </w:tcPr>
          <w:p w14:paraId="6A7CC2B0">
            <w:pPr>
              <w:spacing w:line="440" w:lineRule="exact"/>
              <w:rPr>
                <w:rFonts w:ascii="宋体" w:hAnsi="宋体" w:cs="宋体"/>
                <w:color w:val="auto"/>
                <w:sz w:val="22"/>
                <w:szCs w:val="22"/>
                <w:highlight w:val="none"/>
              </w:rPr>
            </w:pPr>
          </w:p>
          <w:p w14:paraId="268B8B6A">
            <w:pPr>
              <w:spacing w:line="440" w:lineRule="exact"/>
              <w:rPr>
                <w:rFonts w:ascii="宋体" w:hAnsi="宋体" w:cs="宋体"/>
                <w:color w:val="auto"/>
                <w:sz w:val="22"/>
                <w:szCs w:val="22"/>
                <w:highlight w:val="none"/>
              </w:rPr>
            </w:pPr>
          </w:p>
          <w:p w14:paraId="08664514">
            <w:pPr>
              <w:spacing w:line="440" w:lineRule="exact"/>
              <w:rPr>
                <w:rFonts w:ascii="宋体" w:hAnsi="宋体" w:cs="宋体"/>
                <w:color w:val="auto"/>
                <w:sz w:val="22"/>
                <w:szCs w:val="22"/>
                <w:highlight w:val="none"/>
              </w:rPr>
            </w:pPr>
          </w:p>
          <w:p w14:paraId="0C8AA6EB">
            <w:pPr>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授权代表身份证复印件</w:t>
            </w:r>
          </w:p>
          <w:p w14:paraId="777E3C88">
            <w:pPr>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（粘贴处）</w:t>
            </w:r>
          </w:p>
        </w:tc>
      </w:tr>
    </w:tbl>
    <w:p w14:paraId="17B2C3AE">
      <w:pPr>
        <w:spacing w:line="440" w:lineRule="exact"/>
        <w:rPr>
          <w:rFonts w:ascii="宋体" w:hAnsi="宋体" w:cs="宋体"/>
          <w:b/>
          <w:bCs/>
          <w:color w:val="auto"/>
          <w:sz w:val="22"/>
          <w:szCs w:val="22"/>
          <w:highlight w:val="none"/>
        </w:rPr>
      </w:pPr>
    </w:p>
    <w:p w14:paraId="6914CC04">
      <w:pPr>
        <w:spacing w:line="400" w:lineRule="exact"/>
        <w:jc w:val="center"/>
        <w:rPr>
          <w:rFonts w:ascii="宋体" w:hAnsi="宋体"/>
          <w:b/>
          <w:bCs/>
          <w:color w:val="auto"/>
          <w:sz w:val="24"/>
          <w:highlight w:val="none"/>
        </w:rPr>
      </w:pPr>
      <w:r>
        <w:rPr>
          <w:rFonts w:hint="eastAsia" w:ascii="宋体" w:hAnsi="宋体"/>
          <w:b/>
          <w:bCs/>
          <w:color w:val="auto"/>
          <w:sz w:val="24"/>
          <w:highlight w:val="none"/>
        </w:rPr>
        <w:t>（3）</w:t>
      </w:r>
      <w:r>
        <w:rPr>
          <w:rFonts w:hint="eastAsia" w:ascii="宋体" w:hAnsi="宋体" w:cs="宋体"/>
          <w:b/>
          <w:color w:val="auto"/>
          <w:sz w:val="24"/>
          <w:highlight w:val="none"/>
        </w:rPr>
        <w:t>符合参加政府采购活动应当具备的一般条件的承诺函</w:t>
      </w:r>
    </w:p>
    <w:p w14:paraId="709F5AAF">
      <w:pPr>
        <w:pStyle w:val="17"/>
        <w:rPr>
          <w:color w:val="auto"/>
          <w:highlight w:val="none"/>
        </w:rPr>
      </w:pPr>
    </w:p>
    <w:p w14:paraId="564EED85">
      <w:pPr>
        <w:widowControl/>
        <w:adjustRightInd w:val="0"/>
        <w:snapToGrid w:val="0"/>
        <w:spacing w:line="440" w:lineRule="exact"/>
        <w:jc w:val="left"/>
        <w:rPr>
          <w:rFonts w:ascii="宋体" w:hAnsi="宋体" w:cs="宋体"/>
          <w:b/>
          <w:bCs/>
          <w:color w:val="auto"/>
          <w:sz w:val="24"/>
          <w:highlight w:val="none"/>
        </w:rPr>
      </w:pPr>
      <w:r>
        <w:rPr>
          <w:rFonts w:hint="eastAsia" w:ascii="宋体" w:hAnsi="宋体" w:cs="宋体"/>
          <w:b/>
          <w:bCs/>
          <w:color w:val="auto"/>
          <w:sz w:val="24"/>
          <w:highlight w:val="none"/>
        </w:rPr>
        <w:t>浙江安防职业技术学院、温州正风招标代理有限公司：</w:t>
      </w:r>
    </w:p>
    <w:p w14:paraId="3142A1D7">
      <w:pPr>
        <w:widowControl/>
        <w:adjustRightInd w:val="0"/>
        <w:snapToGrid w:val="0"/>
        <w:spacing w:line="440" w:lineRule="exact"/>
        <w:ind w:firstLine="440" w:firstLineChars="200"/>
        <w:jc w:val="left"/>
        <w:rPr>
          <w:rFonts w:ascii="宋体" w:hAnsi="宋体" w:cs="Arial"/>
          <w:color w:val="auto"/>
          <w:sz w:val="22"/>
          <w:szCs w:val="22"/>
          <w:highlight w:val="none"/>
        </w:rPr>
      </w:pPr>
    </w:p>
    <w:p w14:paraId="44E5F6EB">
      <w:pPr>
        <w:snapToGrid w:val="0"/>
        <w:spacing w:line="360" w:lineRule="auto"/>
        <w:ind w:firstLine="440" w:firstLineChars="200"/>
        <w:rPr>
          <w:rFonts w:ascii="宋体" w:hAnsi="宋体" w:cs="仿宋_GB2312"/>
          <w:color w:val="auto"/>
          <w:sz w:val="22"/>
          <w:szCs w:val="22"/>
          <w:highlight w:val="none"/>
        </w:rPr>
      </w:pPr>
      <w:r>
        <w:rPr>
          <w:rFonts w:hint="eastAsia" w:ascii="宋体" w:hAnsi="宋体" w:cs="仿宋_GB2312"/>
          <w:color w:val="auto"/>
          <w:sz w:val="22"/>
          <w:szCs w:val="22"/>
          <w:highlight w:val="none"/>
        </w:rPr>
        <w:t>我方参与</w:t>
      </w:r>
      <w:r>
        <w:rPr>
          <w:rFonts w:hint="eastAsia" w:ascii="宋体" w:hAnsi="宋体" w:cs="宋体"/>
          <w:color w:val="auto"/>
          <w:sz w:val="22"/>
          <w:szCs w:val="22"/>
          <w:highlight w:val="none"/>
          <w:u w:val="single"/>
        </w:rPr>
        <w:t xml:space="preserve">       </w:t>
      </w:r>
      <w:r>
        <w:rPr>
          <w:rFonts w:hint="eastAsia" w:ascii="宋体" w:hAnsi="宋体" w:cs="仿宋_GB2312"/>
          <w:color w:val="auto"/>
          <w:sz w:val="22"/>
          <w:szCs w:val="22"/>
          <w:highlight w:val="none"/>
          <w:u w:val="single"/>
        </w:rPr>
        <w:t>（项目名称）【项目编号：    】</w:t>
      </w:r>
      <w:r>
        <w:rPr>
          <w:rFonts w:hint="eastAsia" w:ascii="宋体" w:hAnsi="宋体" w:cs="仿宋_GB2312"/>
          <w:color w:val="auto"/>
          <w:sz w:val="22"/>
          <w:szCs w:val="22"/>
          <w:highlight w:val="none"/>
        </w:rPr>
        <w:t>政府采购活动，郑重承诺：</w:t>
      </w:r>
    </w:p>
    <w:p w14:paraId="6F27F844">
      <w:pPr>
        <w:snapToGrid w:val="0"/>
        <w:spacing w:line="360" w:lineRule="auto"/>
        <w:ind w:firstLine="330" w:firstLineChars="150"/>
        <w:rPr>
          <w:rFonts w:ascii="宋体" w:hAnsi="宋体" w:cs="仿宋_GB2312"/>
          <w:color w:val="auto"/>
          <w:sz w:val="22"/>
          <w:szCs w:val="22"/>
          <w:highlight w:val="none"/>
        </w:rPr>
      </w:pPr>
      <w:r>
        <w:rPr>
          <w:rFonts w:hint="eastAsia" w:ascii="宋体" w:hAnsi="宋体" w:cs="仿宋_GB2312"/>
          <w:color w:val="auto"/>
          <w:sz w:val="22"/>
          <w:szCs w:val="22"/>
          <w:highlight w:val="none"/>
        </w:rPr>
        <w:t>（一）具备《中华人民共和国政府采购法》第二十二条第一款规定的条件：</w:t>
      </w:r>
    </w:p>
    <w:p w14:paraId="269D3E55">
      <w:pPr>
        <w:snapToGrid w:val="0"/>
        <w:spacing w:line="360" w:lineRule="auto"/>
        <w:ind w:firstLine="440" w:firstLineChars="200"/>
        <w:rPr>
          <w:rFonts w:ascii="宋体" w:hAnsi="宋体" w:cs="仿宋_GB2312"/>
          <w:color w:val="auto"/>
          <w:sz w:val="22"/>
          <w:szCs w:val="22"/>
          <w:highlight w:val="none"/>
        </w:rPr>
      </w:pPr>
      <w:r>
        <w:rPr>
          <w:rFonts w:hint="eastAsia" w:ascii="宋体" w:hAnsi="宋体" w:cs="仿宋_GB2312"/>
          <w:color w:val="auto"/>
          <w:sz w:val="22"/>
          <w:szCs w:val="22"/>
          <w:highlight w:val="none"/>
        </w:rPr>
        <w:t>1、</w:t>
      </w:r>
      <w:r>
        <w:rPr>
          <w:rFonts w:ascii="宋体" w:hAnsi="宋体" w:cs="仿宋_GB2312"/>
          <w:color w:val="auto"/>
          <w:sz w:val="22"/>
          <w:szCs w:val="22"/>
          <w:highlight w:val="none"/>
        </w:rPr>
        <w:t>具有独立承担民事责任的能力；</w:t>
      </w:r>
    </w:p>
    <w:p w14:paraId="44A280E2">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2、</w:t>
      </w:r>
      <w:r>
        <w:rPr>
          <w:rFonts w:ascii="宋体" w:hAnsi="宋体"/>
          <w:color w:val="auto"/>
          <w:sz w:val="22"/>
          <w:szCs w:val="22"/>
          <w:highlight w:val="none"/>
        </w:rPr>
        <w:t xml:space="preserve">具有良好的商业信誉和健全的财务会计制度； </w:t>
      </w:r>
    </w:p>
    <w:p w14:paraId="0258EC8E">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3、</w:t>
      </w:r>
      <w:r>
        <w:rPr>
          <w:rFonts w:ascii="宋体" w:hAnsi="宋体"/>
          <w:color w:val="auto"/>
          <w:sz w:val="22"/>
          <w:szCs w:val="22"/>
          <w:highlight w:val="none"/>
        </w:rPr>
        <w:t>具有履行合同所必需的设备和专业技术能力；</w:t>
      </w:r>
    </w:p>
    <w:p w14:paraId="7645F3B5">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4、</w:t>
      </w:r>
      <w:r>
        <w:rPr>
          <w:rFonts w:ascii="宋体" w:hAnsi="宋体"/>
          <w:color w:val="auto"/>
          <w:sz w:val="22"/>
          <w:szCs w:val="22"/>
          <w:highlight w:val="none"/>
        </w:rPr>
        <w:t>有依法缴纳税收和社会保障资金的良好记录；</w:t>
      </w:r>
    </w:p>
    <w:p w14:paraId="11ADF098">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5、</w:t>
      </w:r>
      <w:r>
        <w:rPr>
          <w:rFonts w:ascii="宋体" w:hAnsi="宋体"/>
          <w:color w:val="auto"/>
          <w:sz w:val="22"/>
          <w:szCs w:val="22"/>
          <w:highlight w:val="none"/>
        </w:rPr>
        <w:t>参加政府采购活动前三年内，在经营活动中没有重大违法记录；</w:t>
      </w:r>
    </w:p>
    <w:p w14:paraId="3A36912C">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6、</w:t>
      </w:r>
      <w:r>
        <w:rPr>
          <w:rFonts w:ascii="宋体" w:hAnsi="宋体"/>
          <w:color w:val="auto"/>
          <w:sz w:val="22"/>
          <w:szCs w:val="22"/>
          <w:highlight w:val="none"/>
        </w:rPr>
        <w:t>具有法律、行政法规规定的其他条件。</w:t>
      </w:r>
    </w:p>
    <w:p w14:paraId="0BB720B4">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（二）未被信用中国（</w:t>
      </w:r>
      <w:r>
        <w:rPr>
          <w:rFonts w:ascii="宋体" w:hAnsi="宋体"/>
          <w:color w:val="auto"/>
          <w:sz w:val="22"/>
          <w:szCs w:val="22"/>
          <w:highlight w:val="none"/>
        </w:rPr>
        <w:t>www.creditchina.gov.cn)、中国政府采购网（www.ccgp.gov.cn）列入失信被执行人、重大税收违法案件当事人名单、政府采购严重违法失信行为记录名单。</w:t>
      </w:r>
    </w:p>
    <w:p w14:paraId="5DD613FF">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（三）不存在以下情况：</w:t>
      </w:r>
    </w:p>
    <w:p w14:paraId="5A626C48">
      <w:pPr>
        <w:snapToGrid w:val="0"/>
        <w:spacing w:line="360" w:lineRule="auto"/>
        <w:ind w:firstLine="440" w:firstLineChars="200"/>
        <w:rPr>
          <w:rFonts w:ascii="宋体" w:hAnsi="宋体" w:cs="仿宋_GB2312"/>
          <w:color w:val="auto"/>
          <w:sz w:val="22"/>
          <w:szCs w:val="22"/>
          <w:highlight w:val="none"/>
        </w:rPr>
      </w:pPr>
      <w:r>
        <w:rPr>
          <w:rFonts w:hint="eastAsia" w:ascii="宋体" w:hAnsi="宋体" w:cs="仿宋_GB2312"/>
          <w:color w:val="auto"/>
          <w:sz w:val="22"/>
          <w:szCs w:val="22"/>
          <w:highlight w:val="none"/>
        </w:rPr>
        <w:t>1、</w:t>
      </w:r>
      <w:r>
        <w:rPr>
          <w:rFonts w:ascii="宋体" w:hAnsi="宋体" w:cs="仿宋_GB2312"/>
          <w:color w:val="auto"/>
          <w:sz w:val="22"/>
          <w:szCs w:val="22"/>
          <w:highlight w:val="none"/>
        </w:rPr>
        <w:t>单位负责人为同一人或者存在直接控股、管理关系的不同供应商参加同一合同项下的政府采购活动的；</w:t>
      </w:r>
    </w:p>
    <w:p w14:paraId="3D7FAB3C">
      <w:pPr>
        <w:snapToGrid w:val="0"/>
        <w:spacing w:line="360" w:lineRule="auto"/>
        <w:ind w:firstLine="440" w:firstLineChars="200"/>
        <w:rPr>
          <w:rFonts w:ascii="宋体" w:hAnsi="宋体" w:cs="仿宋_GB2312"/>
          <w:color w:val="auto"/>
          <w:sz w:val="22"/>
          <w:szCs w:val="22"/>
          <w:highlight w:val="none"/>
        </w:rPr>
      </w:pPr>
      <w:r>
        <w:rPr>
          <w:rFonts w:hint="eastAsia" w:ascii="宋体" w:hAnsi="宋体" w:cs="仿宋_GB2312"/>
          <w:color w:val="auto"/>
          <w:sz w:val="22"/>
          <w:szCs w:val="22"/>
          <w:highlight w:val="none"/>
        </w:rPr>
        <w:t>2、</w:t>
      </w:r>
      <w:r>
        <w:rPr>
          <w:rFonts w:ascii="宋体" w:hAnsi="宋体" w:cs="仿宋_GB2312"/>
          <w:color w:val="auto"/>
          <w:sz w:val="22"/>
          <w:szCs w:val="22"/>
          <w:highlight w:val="none"/>
        </w:rPr>
        <w:t>为采购项目提供整体设计、规范编制或者项目管理、监理、检测等服务后再参加该采购项目的其他采购活动的。</w:t>
      </w:r>
    </w:p>
    <w:p w14:paraId="7EDA017E">
      <w:pPr>
        <w:snapToGrid w:val="0"/>
        <w:spacing w:line="360" w:lineRule="auto"/>
        <w:ind w:firstLine="440" w:firstLineChars="200"/>
        <w:rPr>
          <w:rFonts w:ascii="宋体" w:hAnsi="宋体" w:cs="仿宋_GB2312"/>
          <w:color w:val="auto"/>
          <w:sz w:val="22"/>
          <w:szCs w:val="22"/>
          <w:highlight w:val="none"/>
        </w:rPr>
      </w:pPr>
    </w:p>
    <w:p w14:paraId="01AF4156">
      <w:pPr>
        <w:snapToGrid w:val="0"/>
        <w:spacing w:line="360" w:lineRule="auto"/>
        <w:ind w:firstLine="440" w:firstLineChars="200"/>
        <w:rPr>
          <w:rFonts w:ascii="宋体" w:hAnsi="宋体" w:cs="仿宋_GB2312"/>
          <w:color w:val="auto"/>
          <w:sz w:val="22"/>
          <w:szCs w:val="22"/>
          <w:highlight w:val="none"/>
        </w:rPr>
      </w:pPr>
    </w:p>
    <w:p w14:paraId="22D74190">
      <w:pPr>
        <w:snapToGrid w:val="0"/>
        <w:spacing w:line="360" w:lineRule="auto"/>
        <w:ind w:firstLine="440" w:firstLineChars="200"/>
        <w:rPr>
          <w:rFonts w:ascii="宋体" w:hAnsi="宋体" w:cs="仿宋_GB2312"/>
          <w:color w:val="auto"/>
          <w:sz w:val="22"/>
          <w:szCs w:val="22"/>
          <w:highlight w:val="none"/>
        </w:rPr>
      </w:pPr>
    </w:p>
    <w:p w14:paraId="39EA5E1C">
      <w:pPr>
        <w:spacing w:line="440" w:lineRule="exact"/>
        <w:ind w:firstLine="4400" w:firstLineChars="2000"/>
        <w:rPr>
          <w:rFonts w:ascii="宋体" w:hAnsi="宋体"/>
          <w:color w:val="auto"/>
          <w:sz w:val="22"/>
          <w:szCs w:val="22"/>
          <w:highlight w:val="none"/>
        </w:rPr>
      </w:pPr>
      <w:r>
        <w:rPr>
          <w:rFonts w:hint="eastAsia" w:ascii="宋体" w:hAnsi="宋体"/>
          <w:color w:val="auto"/>
          <w:sz w:val="22"/>
          <w:szCs w:val="22"/>
          <w:highlight w:val="none"/>
        </w:rPr>
        <w:t>供应商名称（电子签名/公章）</w:t>
      </w:r>
      <w:r>
        <w:rPr>
          <w:rFonts w:ascii="宋体" w:hAnsi="宋体"/>
          <w:color w:val="auto"/>
          <w:sz w:val="22"/>
          <w:szCs w:val="22"/>
          <w:highlight w:val="none"/>
        </w:rPr>
        <w:t>：</w:t>
      </w:r>
    </w:p>
    <w:p w14:paraId="5074B603">
      <w:pPr>
        <w:spacing w:line="440" w:lineRule="exact"/>
        <w:jc w:val="center"/>
        <w:rPr>
          <w:rFonts w:ascii="宋体" w:hAnsi="宋体"/>
          <w:color w:val="auto"/>
          <w:sz w:val="22"/>
          <w:szCs w:val="22"/>
          <w:highlight w:val="none"/>
        </w:rPr>
      </w:pPr>
      <w:r>
        <w:rPr>
          <w:rFonts w:hint="eastAsia" w:ascii="宋体" w:hAnsi="宋体"/>
          <w:color w:val="auto"/>
          <w:sz w:val="22"/>
          <w:szCs w:val="22"/>
          <w:highlight w:val="none"/>
        </w:rPr>
        <w:t xml:space="preserve"> </w:t>
      </w:r>
      <w:r>
        <w:rPr>
          <w:rFonts w:ascii="宋体" w:hAnsi="宋体"/>
          <w:color w:val="auto"/>
          <w:sz w:val="22"/>
          <w:szCs w:val="22"/>
          <w:highlight w:val="none"/>
        </w:rPr>
        <w:t xml:space="preserve">                 </w:t>
      </w:r>
      <w:r>
        <w:rPr>
          <w:rFonts w:hint="eastAsia" w:ascii="宋体" w:hAnsi="宋体"/>
          <w:color w:val="auto"/>
          <w:sz w:val="22"/>
          <w:szCs w:val="22"/>
          <w:highlight w:val="none"/>
        </w:rPr>
        <w:t>日期：</w:t>
      </w:r>
      <w:r>
        <w:rPr>
          <w:rFonts w:ascii="宋体" w:hAnsi="宋体"/>
          <w:color w:val="auto"/>
          <w:sz w:val="22"/>
          <w:szCs w:val="22"/>
          <w:highlight w:val="none"/>
        </w:rPr>
        <w:t xml:space="preserve">       年</w:t>
      </w:r>
      <w:r>
        <w:rPr>
          <w:rFonts w:hint="eastAsia" w:ascii="宋体" w:hAnsi="宋体"/>
          <w:color w:val="auto"/>
          <w:sz w:val="22"/>
          <w:szCs w:val="22"/>
          <w:highlight w:val="none"/>
        </w:rPr>
        <w:t xml:space="preserve"> </w:t>
      </w:r>
      <w:r>
        <w:rPr>
          <w:rFonts w:ascii="宋体" w:hAnsi="宋体"/>
          <w:color w:val="auto"/>
          <w:sz w:val="22"/>
          <w:szCs w:val="22"/>
          <w:highlight w:val="none"/>
        </w:rPr>
        <w:t xml:space="preserve">  </w:t>
      </w:r>
      <w:r>
        <w:rPr>
          <w:rFonts w:hint="eastAsia" w:ascii="宋体" w:hAnsi="宋体"/>
          <w:color w:val="auto"/>
          <w:sz w:val="22"/>
          <w:szCs w:val="22"/>
          <w:highlight w:val="none"/>
        </w:rPr>
        <w:t xml:space="preserve">月 </w:t>
      </w:r>
      <w:r>
        <w:rPr>
          <w:rFonts w:ascii="宋体" w:hAnsi="宋体"/>
          <w:color w:val="auto"/>
          <w:sz w:val="22"/>
          <w:szCs w:val="22"/>
          <w:highlight w:val="none"/>
        </w:rPr>
        <w:t xml:space="preserve">   </w:t>
      </w:r>
      <w:r>
        <w:rPr>
          <w:rFonts w:hint="eastAsia" w:ascii="宋体" w:hAnsi="宋体"/>
          <w:color w:val="auto"/>
          <w:sz w:val="22"/>
          <w:szCs w:val="22"/>
          <w:highlight w:val="none"/>
        </w:rPr>
        <w:t>日</w:t>
      </w:r>
    </w:p>
    <w:p w14:paraId="2B6336B2">
      <w:pPr>
        <w:pStyle w:val="17"/>
        <w:rPr>
          <w:rFonts w:ascii="宋体" w:hAnsi="宋体"/>
          <w:color w:val="auto"/>
          <w:sz w:val="22"/>
          <w:szCs w:val="22"/>
          <w:highlight w:val="none"/>
        </w:rPr>
      </w:pPr>
    </w:p>
    <w:p w14:paraId="16B63F11">
      <w:pPr>
        <w:pStyle w:val="93"/>
        <w:rPr>
          <w:rFonts w:hAnsi="宋体"/>
          <w:color w:val="auto"/>
          <w:sz w:val="22"/>
          <w:szCs w:val="22"/>
          <w:highlight w:val="none"/>
        </w:rPr>
      </w:pPr>
    </w:p>
    <w:p w14:paraId="5A7C5783">
      <w:pPr>
        <w:rPr>
          <w:rFonts w:ascii="宋体" w:hAnsi="宋体"/>
          <w:color w:val="auto"/>
          <w:sz w:val="22"/>
          <w:szCs w:val="22"/>
          <w:highlight w:val="none"/>
        </w:rPr>
      </w:pPr>
    </w:p>
    <w:p w14:paraId="7AC16371">
      <w:pPr>
        <w:pStyle w:val="17"/>
        <w:rPr>
          <w:rFonts w:ascii="宋体" w:hAnsi="宋体"/>
          <w:color w:val="auto"/>
          <w:sz w:val="22"/>
          <w:szCs w:val="22"/>
          <w:highlight w:val="none"/>
        </w:rPr>
      </w:pPr>
    </w:p>
    <w:p w14:paraId="289C2A38">
      <w:pPr>
        <w:pStyle w:val="93"/>
        <w:rPr>
          <w:rFonts w:hAnsi="宋体"/>
          <w:color w:val="auto"/>
          <w:sz w:val="22"/>
          <w:szCs w:val="22"/>
          <w:highlight w:val="none"/>
        </w:rPr>
      </w:pPr>
    </w:p>
    <w:p w14:paraId="378B42CF">
      <w:pPr>
        <w:rPr>
          <w:rFonts w:ascii="宋体" w:hAnsi="宋体"/>
          <w:color w:val="auto"/>
          <w:sz w:val="22"/>
          <w:szCs w:val="22"/>
          <w:highlight w:val="none"/>
        </w:rPr>
      </w:pPr>
    </w:p>
    <w:p w14:paraId="5373D082">
      <w:pPr>
        <w:pStyle w:val="17"/>
        <w:rPr>
          <w:rFonts w:ascii="宋体" w:hAnsi="宋体"/>
          <w:color w:val="auto"/>
          <w:sz w:val="22"/>
          <w:szCs w:val="22"/>
          <w:highlight w:val="none"/>
        </w:rPr>
      </w:pPr>
    </w:p>
    <w:p w14:paraId="00C62277">
      <w:pPr>
        <w:pStyle w:val="93"/>
        <w:rPr>
          <w:color w:val="auto"/>
          <w:highlight w:val="none"/>
        </w:rPr>
      </w:pPr>
    </w:p>
    <w:p w14:paraId="69FCAC2D">
      <w:pPr>
        <w:rPr>
          <w:rFonts w:ascii="宋体" w:hAnsi="宋体" w:cs="宋体"/>
          <w:b/>
          <w:color w:val="auto"/>
          <w:sz w:val="24"/>
          <w:highlight w:val="none"/>
        </w:rPr>
      </w:pPr>
      <w:r>
        <w:rPr>
          <w:rFonts w:hint="eastAsia" w:ascii="宋体" w:hAnsi="宋体" w:cs="宋体"/>
          <w:b/>
          <w:color w:val="auto"/>
          <w:sz w:val="24"/>
          <w:highlight w:val="none"/>
        </w:rPr>
        <w:br w:type="page"/>
      </w:r>
    </w:p>
    <w:p w14:paraId="67E9F237">
      <w:pPr>
        <w:snapToGrid w:val="0"/>
        <w:spacing w:line="360" w:lineRule="auto"/>
        <w:jc w:val="center"/>
        <w:rPr>
          <w:rFonts w:ascii="宋体" w:hAnsi="宋体" w:cs="宋体"/>
          <w:b/>
          <w:color w:val="auto"/>
          <w:sz w:val="24"/>
          <w:highlight w:val="none"/>
        </w:rPr>
      </w:pPr>
      <w:bookmarkStart w:id="172" w:name="_Toc184281694"/>
      <w:bookmarkStart w:id="173" w:name="_Toc230773787"/>
      <w:bookmarkStart w:id="174" w:name="_Toc218392091"/>
      <w:bookmarkStart w:id="175" w:name="_Toc184281693"/>
      <w:r>
        <w:rPr>
          <w:rFonts w:hint="eastAsia" w:ascii="宋体" w:hAnsi="宋体" w:cs="宋体"/>
          <w:b/>
          <w:color w:val="auto"/>
          <w:sz w:val="24"/>
          <w:highlight w:val="none"/>
        </w:rPr>
        <w:t>（4）联合体协议书（</w:t>
      </w:r>
      <w:bookmarkStart w:id="176" w:name="_Hlk113552869"/>
      <w:r>
        <w:rPr>
          <w:rFonts w:hint="eastAsia" w:ascii="宋体" w:hAnsi="宋体" w:cs="宋体"/>
          <w:b/>
          <w:color w:val="auto"/>
          <w:sz w:val="24"/>
          <w:highlight w:val="none"/>
        </w:rPr>
        <w:t>如为联合体投标，请提供</w:t>
      </w:r>
      <w:bookmarkEnd w:id="176"/>
      <w:r>
        <w:rPr>
          <w:rFonts w:hint="eastAsia" w:ascii="宋体" w:hAnsi="宋体" w:cs="宋体"/>
          <w:b/>
          <w:color w:val="auto"/>
          <w:sz w:val="24"/>
          <w:highlight w:val="none"/>
        </w:rPr>
        <w:t>）</w:t>
      </w:r>
    </w:p>
    <w:p w14:paraId="0CD5982F">
      <w:pPr>
        <w:snapToGrid w:val="0"/>
        <w:spacing w:line="360" w:lineRule="auto"/>
        <w:rPr>
          <w:rFonts w:ascii="宋体" w:hAnsi="宋体" w:cs="宋体"/>
          <w:color w:val="auto"/>
          <w:sz w:val="22"/>
          <w:szCs w:val="22"/>
          <w:highlight w:val="none"/>
          <w:lang w:val="zh-CN"/>
        </w:rPr>
      </w:pPr>
      <w:r>
        <w:rPr>
          <w:rFonts w:hint="eastAsia" w:ascii="宋体" w:hAnsi="宋体" w:cs="宋体"/>
          <w:color w:val="auto"/>
          <w:sz w:val="22"/>
          <w:szCs w:val="22"/>
          <w:highlight w:val="none"/>
          <w:u w:val="single"/>
        </w:rPr>
        <w:t>（联合体所有成员名称）</w:t>
      </w:r>
      <w:r>
        <w:rPr>
          <w:rFonts w:hint="eastAsia" w:ascii="宋体" w:hAnsi="宋体" w:cs="宋体"/>
          <w:color w:val="auto"/>
          <w:sz w:val="22"/>
          <w:szCs w:val="22"/>
          <w:highlight w:val="none"/>
        </w:rPr>
        <w:t>自愿</w:t>
      </w:r>
      <w:r>
        <w:rPr>
          <w:rFonts w:hint="eastAsia" w:ascii="宋体" w:hAnsi="宋体" w:cs="宋体"/>
          <w:color w:val="auto"/>
          <w:sz w:val="22"/>
          <w:szCs w:val="22"/>
          <w:highlight w:val="none"/>
          <w:lang w:val="zh-CN"/>
        </w:rPr>
        <w:t>组成一个联合体，以一个投标人的身份</w:t>
      </w:r>
      <w:r>
        <w:rPr>
          <w:rFonts w:hint="eastAsia" w:ascii="宋体" w:hAnsi="宋体" w:cs="宋体"/>
          <w:color w:val="auto"/>
          <w:sz w:val="22"/>
          <w:szCs w:val="22"/>
          <w:highlight w:val="none"/>
        </w:rPr>
        <w:t>参加</w:t>
      </w:r>
      <w:r>
        <w:rPr>
          <w:rFonts w:hint="eastAsia" w:ascii="宋体" w:hAnsi="宋体" w:cs="宋体"/>
          <w:color w:val="auto"/>
          <w:sz w:val="22"/>
          <w:szCs w:val="22"/>
          <w:highlight w:val="none"/>
          <w:u w:val="single"/>
        </w:rPr>
        <w:t xml:space="preserve">      项目【项目编号：      】</w:t>
      </w:r>
      <w:r>
        <w:rPr>
          <w:rFonts w:hint="eastAsia" w:ascii="宋体" w:hAnsi="宋体" w:cs="宋体"/>
          <w:color w:val="auto"/>
          <w:sz w:val="22"/>
          <w:szCs w:val="22"/>
          <w:highlight w:val="none"/>
          <w:lang w:val="zh-CN"/>
        </w:rPr>
        <w:t xml:space="preserve">投标。 </w:t>
      </w:r>
    </w:p>
    <w:p w14:paraId="19775162">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一、各方一致决定，</w:t>
      </w:r>
      <w:r>
        <w:rPr>
          <w:rFonts w:hint="eastAsia" w:ascii="宋体" w:hAnsi="宋体" w:cs="宋体"/>
          <w:color w:val="auto"/>
          <w:sz w:val="22"/>
          <w:szCs w:val="22"/>
          <w:highlight w:val="none"/>
          <w:u w:val="single"/>
        </w:rPr>
        <w:t>（某联合体成员名称）</w:t>
      </w:r>
      <w:r>
        <w:rPr>
          <w:rFonts w:hint="eastAsia" w:ascii="宋体" w:hAnsi="宋体" w:cs="宋体"/>
          <w:color w:val="auto"/>
          <w:sz w:val="22"/>
          <w:szCs w:val="22"/>
          <w:highlight w:val="none"/>
        </w:rPr>
        <w:t>为联合体</w:t>
      </w:r>
      <w:r>
        <w:rPr>
          <w:rFonts w:hint="eastAsia" w:ascii="宋体" w:hAnsi="宋体" w:cs="宋体"/>
          <w:color w:val="auto"/>
          <w:sz w:val="22"/>
          <w:szCs w:val="22"/>
          <w:highlight w:val="none"/>
          <w:lang w:val="zh-CN"/>
        </w:rPr>
        <w:t>牵头人</w:t>
      </w:r>
      <w:r>
        <w:rPr>
          <w:rFonts w:hint="eastAsia" w:ascii="宋体" w:hAnsi="宋体" w:cs="宋体"/>
          <w:color w:val="auto"/>
          <w:sz w:val="22"/>
          <w:szCs w:val="22"/>
          <w:highlight w:val="none"/>
        </w:rPr>
        <w:t>，代表所有联合体成员负责投标和合同实施阶段的主办、协调工作</w:t>
      </w:r>
      <w:r>
        <w:rPr>
          <w:rFonts w:hint="eastAsia" w:ascii="宋体" w:hAnsi="宋体" w:cs="宋体"/>
          <w:color w:val="auto"/>
          <w:sz w:val="22"/>
          <w:szCs w:val="22"/>
          <w:highlight w:val="none"/>
          <w:lang w:val="zh-CN"/>
        </w:rPr>
        <w:t>。</w:t>
      </w:r>
    </w:p>
    <w:p w14:paraId="1E65E722">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二、</w:t>
      </w:r>
      <w:r>
        <w:rPr>
          <w:rFonts w:hint="eastAsia" w:ascii="宋体" w:hAnsi="宋体" w:cs="宋体"/>
          <w:color w:val="auto"/>
          <w:sz w:val="22"/>
          <w:szCs w:val="22"/>
          <w:highlight w:val="none"/>
        </w:rPr>
        <w:t>所有联合体成员各方签署授权书，授权书载明的</w:t>
      </w:r>
      <w:r>
        <w:rPr>
          <w:rFonts w:hint="eastAsia" w:ascii="宋体" w:hAnsi="宋体" w:cs="宋体"/>
          <w:color w:val="auto"/>
          <w:sz w:val="22"/>
          <w:szCs w:val="22"/>
          <w:highlight w:val="none"/>
          <w:lang w:val="zh-CN"/>
        </w:rPr>
        <w:t>授权代表根据招标文件规定及投标内容而对采购人、采购代理机构所作的任何合法承诺，包括书面澄清及</w:t>
      </w:r>
      <w:r>
        <w:rPr>
          <w:rFonts w:hint="eastAsia" w:ascii="宋体" w:hAnsi="宋体" w:cs="宋体"/>
          <w:color w:val="auto"/>
          <w:sz w:val="22"/>
          <w:szCs w:val="22"/>
          <w:highlight w:val="none"/>
          <w:lang w:val="en-US" w:eastAsia="zh-CN"/>
        </w:rPr>
        <w:t>响应</w:t>
      </w:r>
      <w:r>
        <w:rPr>
          <w:rFonts w:hint="eastAsia" w:ascii="宋体" w:hAnsi="宋体" w:cs="宋体"/>
          <w:color w:val="auto"/>
          <w:sz w:val="22"/>
          <w:szCs w:val="22"/>
          <w:highlight w:val="none"/>
          <w:lang w:val="zh-CN"/>
        </w:rPr>
        <w:t>等均对联合投标各方产生约束力。</w:t>
      </w:r>
    </w:p>
    <w:p w14:paraId="2978DF29">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三、本次联合投标中，分工如下：</w:t>
      </w:r>
    </w:p>
    <w:p w14:paraId="7164AF88">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u w:val="single"/>
        </w:rPr>
        <w:t>（联合体成员1）</w:t>
      </w:r>
      <w:r>
        <w:rPr>
          <w:rFonts w:hint="eastAsia" w:ascii="宋体" w:hAnsi="宋体" w:cs="宋体"/>
          <w:color w:val="auto"/>
          <w:sz w:val="22"/>
          <w:szCs w:val="22"/>
          <w:highlight w:val="none"/>
          <w:lang w:val="zh-CN"/>
        </w:rPr>
        <w:t>承担的工作和义务为：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lang w:val="zh-CN"/>
        </w:rPr>
        <w:t>；</w:t>
      </w:r>
    </w:p>
    <w:p w14:paraId="349D90DD">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u w:val="single"/>
        </w:rPr>
        <w:t>（联合体成员2）</w:t>
      </w:r>
      <w:r>
        <w:rPr>
          <w:rFonts w:hint="eastAsia" w:ascii="宋体" w:hAnsi="宋体" w:cs="宋体"/>
          <w:color w:val="auto"/>
          <w:sz w:val="22"/>
          <w:szCs w:val="22"/>
          <w:highlight w:val="none"/>
          <w:lang w:val="zh-CN"/>
        </w:rPr>
        <w:t>承担的工作和义务为：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lang w:val="zh-CN"/>
        </w:rPr>
        <w:t>；</w:t>
      </w:r>
    </w:p>
    <w:p w14:paraId="644A697C">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w:t>
      </w:r>
    </w:p>
    <w:p w14:paraId="68DFB2DC">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四、联合体成员中小企业合同份额。</w:t>
      </w:r>
    </w:p>
    <w:p w14:paraId="34C37EAA">
      <w:pPr>
        <w:snapToGrid w:val="0"/>
        <w:spacing w:line="360" w:lineRule="auto"/>
        <w:ind w:firstLine="576"/>
        <w:rPr>
          <w:rFonts w:ascii="宋体" w:hAnsi="宋体" w:cs="宋体"/>
          <w:b/>
          <w:color w:val="auto"/>
          <w:sz w:val="22"/>
          <w:szCs w:val="22"/>
          <w:highlight w:val="none"/>
          <w:lang w:val="zh-CN"/>
        </w:rPr>
      </w:pPr>
      <w:r>
        <w:rPr>
          <w:rFonts w:hint="eastAsia" w:ascii="宋体" w:hAnsi="宋体" w:cs="宋体"/>
          <w:color w:val="auto"/>
          <w:sz w:val="22"/>
          <w:szCs w:val="22"/>
          <w:highlight w:val="none"/>
          <w:lang w:val="zh-CN"/>
        </w:rPr>
        <w:t>1、</w:t>
      </w:r>
      <w:r>
        <w:rPr>
          <w:rFonts w:hint="eastAsia" w:ascii="宋体" w:hAnsi="宋体" w:cs="宋体"/>
          <w:color w:val="auto"/>
          <w:sz w:val="22"/>
          <w:szCs w:val="22"/>
          <w:highlight w:val="none"/>
          <w:u w:val="single"/>
        </w:rPr>
        <w:t>（</w:t>
      </w:r>
      <w:bookmarkStart w:id="177" w:name="_Hlk101131882"/>
      <w:r>
        <w:rPr>
          <w:rFonts w:hint="eastAsia" w:ascii="宋体" w:hAnsi="宋体" w:cs="宋体"/>
          <w:color w:val="auto"/>
          <w:sz w:val="22"/>
          <w:szCs w:val="22"/>
          <w:highlight w:val="none"/>
          <w:u w:val="single"/>
        </w:rPr>
        <w:t>联合体成员X,……</w:t>
      </w:r>
      <w:bookmarkEnd w:id="177"/>
      <w:r>
        <w:rPr>
          <w:rFonts w:hint="eastAsia" w:ascii="宋体" w:hAnsi="宋体" w:cs="宋体"/>
          <w:color w:val="auto"/>
          <w:sz w:val="22"/>
          <w:szCs w:val="22"/>
          <w:highlight w:val="none"/>
          <w:u w:val="single"/>
        </w:rPr>
        <w:t>）</w:t>
      </w:r>
      <w:r>
        <w:rPr>
          <w:rFonts w:hint="eastAsia" w:ascii="宋体" w:hAnsi="宋体" w:cs="宋体"/>
          <w:color w:val="auto"/>
          <w:sz w:val="22"/>
          <w:szCs w:val="22"/>
          <w:highlight w:val="none"/>
        </w:rPr>
        <w:t>提供的服务由小微企业承接，其合同份额占到合同总金额</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%以上</w:t>
      </w:r>
      <w:r>
        <w:rPr>
          <w:rFonts w:hint="eastAsia" w:ascii="宋体" w:hAnsi="宋体" w:cs="宋体"/>
          <w:color w:val="auto"/>
          <w:sz w:val="22"/>
          <w:szCs w:val="22"/>
          <w:highlight w:val="none"/>
          <w:lang w:val="zh-CN"/>
        </w:rPr>
        <w:t>。</w:t>
      </w:r>
      <w:r>
        <w:rPr>
          <w:rFonts w:hint="eastAsia" w:ascii="宋体" w:hAnsi="宋体" w:cs="宋体"/>
          <w:b/>
          <w:color w:val="auto"/>
          <w:sz w:val="22"/>
          <w:szCs w:val="22"/>
          <w:highlight w:val="none"/>
          <w:lang w:val="zh-CN"/>
        </w:rPr>
        <w:t>（</w:t>
      </w:r>
      <w:bookmarkStart w:id="178" w:name="_Hlk101133598"/>
      <w:r>
        <w:rPr>
          <w:rFonts w:hint="eastAsia" w:ascii="宋体" w:hAnsi="宋体" w:cs="宋体"/>
          <w:b/>
          <w:color w:val="auto"/>
          <w:sz w:val="22"/>
          <w:szCs w:val="22"/>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2"/>
          <w:szCs w:val="22"/>
          <w:highlight w:val="none"/>
        </w:rPr>
        <w:t>拟享受以上价格扣除政策的，填写有关内容。</w:t>
      </w:r>
      <w:bookmarkEnd w:id="178"/>
      <w:r>
        <w:rPr>
          <w:rFonts w:hint="eastAsia" w:ascii="宋体" w:hAnsi="宋体" w:cs="宋体"/>
          <w:b/>
          <w:color w:val="auto"/>
          <w:sz w:val="22"/>
          <w:szCs w:val="22"/>
          <w:highlight w:val="none"/>
          <w:lang w:val="zh-CN"/>
        </w:rPr>
        <w:t>）</w:t>
      </w:r>
    </w:p>
    <w:p w14:paraId="25C081BD">
      <w:pPr>
        <w:spacing w:line="360" w:lineRule="auto"/>
        <w:ind w:firstLine="440" w:firstLineChars="200"/>
        <w:rPr>
          <w:rFonts w:ascii="宋体" w:hAnsi="宋体" w:cs="宋体"/>
          <w:b/>
          <w:bCs/>
          <w:color w:val="auto"/>
          <w:sz w:val="22"/>
          <w:szCs w:val="22"/>
          <w:highlight w:val="none"/>
          <w:lang w:val="zh-CN"/>
        </w:rPr>
      </w:pPr>
      <w:r>
        <w:rPr>
          <w:rFonts w:hint="eastAsia" w:ascii="宋体" w:hAnsi="宋体" w:cs="宋体"/>
          <w:color w:val="auto"/>
          <w:sz w:val="22"/>
          <w:szCs w:val="22"/>
          <w:highlight w:val="none"/>
        </w:rPr>
        <w:t>2、</w:t>
      </w:r>
      <w:bookmarkStart w:id="179" w:name="_Hlk101133173"/>
      <w:r>
        <w:rPr>
          <w:rFonts w:hint="eastAsia" w:ascii="宋体" w:hAnsi="宋体" w:cs="宋体"/>
          <w:color w:val="auto"/>
          <w:sz w:val="22"/>
          <w:szCs w:val="22"/>
          <w:highlight w:val="none"/>
        </w:rPr>
        <w:t>中小企业合同金额达到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%，小微企业合同金额达到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zh-CN"/>
        </w:rPr>
        <w:t>。</w:t>
      </w:r>
      <w:r>
        <w:rPr>
          <w:rFonts w:hint="eastAsia" w:ascii="宋体" w:hAnsi="宋体" w:cs="宋体"/>
          <w:b/>
          <w:bCs/>
          <w:color w:val="auto"/>
          <w:sz w:val="22"/>
          <w:szCs w:val="22"/>
          <w:highlight w:val="none"/>
          <w:lang w:val="zh-CN"/>
        </w:rPr>
        <w:t>（</w:t>
      </w:r>
      <w:r>
        <w:rPr>
          <w:rFonts w:hint="eastAsia" w:ascii="宋体" w:hAnsi="宋体" w:cs="宋体"/>
          <w:b/>
          <w:bCs/>
          <w:color w:val="auto"/>
          <w:sz w:val="22"/>
          <w:szCs w:val="22"/>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sz w:val="22"/>
          <w:szCs w:val="22"/>
          <w:highlight w:val="none"/>
          <w:lang w:val="zh-CN"/>
        </w:rPr>
        <w:t>）</w:t>
      </w:r>
      <w:bookmarkEnd w:id="179"/>
    </w:p>
    <w:p w14:paraId="3574A13F">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五、如果中标，</w:t>
      </w:r>
      <w:r>
        <w:rPr>
          <w:rFonts w:hint="eastAsia" w:ascii="宋体" w:hAnsi="宋体" w:cs="宋体"/>
          <w:color w:val="auto"/>
          <w:sz w:val="22"/>
          <w:szCs w:val="22"/>
          <w:highlight w:val="none"/>
        </w:rPr>
        <w:t>联合体各成员方共同与采购人签订合同，并就采购合同约定的事项对采购人承担连带责任。</w:t>
      </w:r>
    </w:p>
    <w:p w14:paraId="4933F8EF">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六、有关本次联合投标的其他事宜：</w:t>
      </w:r>
    </w:p>
    <w:p w14:paraId="5F4BA803">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1、联合体各方不再单独参加或者与其他供应商另外组成联合体参加同一合同项下的政府采购活动。</w:t>
      </w:r>
    </w:p>
    <w:p w14:paraId="5F10078C">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2、联合体中有同类资质的各方按照联合体分工承担相同工作的，按照资质等级较低的供应商确定资质等级。</w:t>
      </w:r>
    </w:p>
    <w:p w14:paraId="1299FF51">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3、本协议提交采购人、采购代理机构后，联合体各方不得以任何形式对上述内容进行修改或撤销。</w:t>
      </w:r>
    </w:p>
    <w:p w14:paraId="0B8E03C6">
      <w:pPr>
        <w:snapToGrid w:val="0"/>
        <w:spacing w:line="360" w:lineRule="auto"/>
        <w:ind w:firstLine="4620" w:firstLineChars="21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联合体成员名称(电子签名/公章)：</w:t>
      </w:r>
    </w:p>
    <w:p w14:paraId="6B1623DA">
      <w:pPr>
        <w:snapToGrid w:val="0"/>
        <w:spacing w:line="360" w:lineRule="auto"/>
        <w:ind w:firstLine="4620" w:firstLineChars="21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联合体成员名称(电子签名/公章)：</w:t>
      </w:r>
    </w:p>
    <w:p w14:paraId="6563DA99">
      <w:pPr>
        <w:snapToGrid w:val="0"/>
        <w:spacing w:line="360" w:lineRule="auto"/>
        <w:ind w:right="960"/>
        <w:jc w:val="center"/>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 xml:space="preserve">                   ……</w:t>
      </w:r>
    </w:p>
    <w:p w14:paraId="22DA88B3">
      <w:pPr>
        <w:snapToGrid w:val="0"/>
        <w:spacing w:line="360" w:lineRule="auto"/>
        <w:jc w:val="righ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日期：  年  月   日</w:t>
      </w:r>
    </w:p>
    <w:p w14:paraId="451D77FA">
      <w:pPr>
        <w:widowControl/>
        <w:shd w:val="clear" w:color="auto" w:fill="FFFFFF"/>
        <w:spacing w:line="440" w:lineRule="atLeast"/>
        <w:ind w:firstLine="482"/>
        <w:jc w:val="left"/>
        <w:rPr>
          <w:rFonts w:ascii="宋体" w:hAnsi="宋体" w:cs="宋体"/>
          <w:color w:val="auto"/>
          <w:sz w:val="22"/>
          <w:szCs w:val="22"/>
          <w:highlight w:val="none"/>
        </w:rPr>
      </w:pPr>
      <w:r>
        <w:rPr>
          <w:rFonts w:hint="eastAsia" w:ascii="宋体" w:hAnsi="宋体" w:cs="宋体"/>
          <w:color w:val="auto"/>
          <w:sz w:val="22"/>
          <w:szCs w:val="22"/>
          <w:highlight w:val="none"/>
        </w:rPr>
        <w:t>注：按本格式和要求提供。</w:t>
      </w:r>
    </w:p>
    <w:p w14:paraId="2EA4F258">
      <w:pPr>
        <w:widowControl/>
        <w:snapToGrid w:val="0"/>
        <w:spacing w:line="360" w:lineRule="auto"/>
        <w:ind w:firstLine="440" w:firstLineChars="200"/>
        <w:jc w:val="left"/>
        <w:rPr>
          <w:rFonts w:ascii="宋体" w:hAnsi="宋体" w:cs="仿宋_GB2312"/>
          <w:color w:val="auto"/>
          <w:sz w:val="22"/>
          <w:highlight w:val="none"/>
        </w:rPr>
      </w:pPr>
    </w:p>
    <w:p w14:paraId="7884FE5D">
      <w:pPr>
        <w:widowControl/>
        <w:snapToGrid w:val="0"/>
        <w:spacing w:line="360" w:lineRule="auto"/>
        <w:ind w:firstLine="440" w:firstLineChars="200"/>
        <w:jc w:val="left"/>
        <w:rPr>
          <w:rFonts w:ascii="宋体" w:hAnsi="宋体" w:cs="仿宋_GB2312"/>
          <w:color w:val="auto"/>
          <w:sz w:val="22"/>
          <w:highlight w:val="none"/>
        </w:rPr>
        <w:sectPr>
          <w:footerReference r:id="rId8" w:type="default"/>
          <w:pgSz w:w="11906" w:h="16838"/>
          <w:pgMar w:top="1134" w:right="1134" w:bottom="1134" w:left="1134" w:header="851" w:footer="992" w:gutter="0"/>
          <w:pgNumType w:fmt="decimal"/>
          <w:cols w:space="720" w:num="1"/>
          <w:docGrid w:linePitch="312" w:charSpace="0"/>
        </w:sectPr>
      </w:pPr>
    </w:p>
    <w:p w14:paraId="3E013BF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（5）分包意向协议（如有分包，请根据格式提供）</w:t>
      </w:r>
    </w:p>
    <w:p w14:paraId="41822092">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u w:val="single"/>
        </w:rPr>
        <w:t>（投标人名称）</w:t>
      </w:r>
      <w:r>
        <w:rPr>
          <w:rFonts w:hint="eastAsia" w:ascii="宋体" w:hAnsi="宋体" w:cs="宋体"/>
          <w:color w:val="auto"/>
          <w:sz w:val="22"/>
          <w:szCs w:val="22"/>
          <w:highlight w:val="none"/>
          <w:lang w:val="zh-CN"/>
        </w:rPr>
        <w:t>若成为</w:t>
      </w:r>
      <w:r>
        <w:rPr>
          <w:rFonts w:hint="eastAsia" w:ascii="宋体" w:hAnsi="宋体" w:cs="宋体"/>
          <w:color w:val="auto"/>
          <w:sz w:val="22"/>
          <w:szCs w:val="22"/>
          <w:highlight w:val="none"/>
          <w:u w:val="single"/>
        </w:rPr>
        <w:t xml:space="preserve">      项目【项目编号：      】</w:t>
      </w:r>
      <w:r>
        <w:rPr>
          <w:rFonts w:hint="eastAsia" w:ascii="宋体" w:hAnsi="宋体" w:cs="宋体"/>
          <w:color w:val="auto"/>
          <w:sz w:val="22"/>
          <w:szCs w:val="22"/>
          <w:highlight w:val="none"/>
          <w:lang w:val="zh-CN"/>
        </w:rPr>
        <w:t>的</w:t>
      </w:r>
      <w:r>
        <w:rPr>
          <w:rFonts w:hint="eastAsia" w:ascii="宋体" w:hAnsi="宋体" w:cs="宋体"/>
          <w:color w:val="auto"/>
          <w:sz w:val="22"/>
          <w:szCs w:val="22"/>
          <w:highlight w:val="none"/>
        </w:rPr>
        <w:t>中标人</w:t>
      </w:r>
      <w:r>
        <w:rPr>
          <w:rFonts w:hint="eastAsia" w:ascii="宋体" w:hAnsi="宋体" w:cs="宋体"/>
          <w:color w:val="auto"/>
          <w:sz w:val="22"/>
          <w:szCs w:val="22"/>
          <w:highlight w:val="none"/>
          <w:lang w:val="zh-CN"/>
        </w:rPr>
        <w:t>，将依法采取分包方式履行合同。</w:t>
      </w:r>
      <w:r>
        <w:rPr>
          <w:rFonts w:hint="eastAsia" w:ascii="宋体" w:hAnsi="宋体" w:cs="宋体"/>
          <w:color w:val="auto"/>
          <w:sz w:val="22"/>
          <w:szCs w:val="22"/>
          <w:highlight w:val="none"/>
          <w:u w:val="single"/>
        </w:rPr>
        <w:t>（投标人名称）</w:t>
      </w:r>
      <w:r>
        <w:rPr>
          <w:rFonts w:hint="eastAsia" w:ascii="宋体" w:hAnsi="宋体" w:cs="宋体"/>
          <w:color w:val="auto"/>
          <w:sz w:val="22"/>
          <w:szCs w:val="22"/>
          <w:highlight w:val="none"/>
        </w:rPr>
        <w:t>与</w:t>
      </w:r>
      <w:r>
        <w:rPr>
          <w:rFonts w:hint="eastAsia" w:ascii="宋体" w:hAnsi="宋体" w:cs="宋体"/>
          <w:color w:val="auto"/>
          <w:sz w:val="22"/>
          <w:szCs w:val="22"/>
          <w:highlight w:val="none"/>
          <w:u w:val="single"/>
        </w:rPr>
        <w:t>（所有分包供应商名称）</w:t>
      </w:r>
      <w:r>
        <w:rPr>
          <w:rFonts w:hint="eastAsia" w:ascii="宋体" w:hAnsi="宋体" w:cs="宋体"/>
          <w:color w:val="auto"/>
          <w:sz w:val="22"/>
          <w:szCs w:val="22"/>
          <w:highlight w:val="none"/>
        </w:rPr>
        <w:t>达成分包意向协议</w:t>
      </w:r>
      <w:r>
        <w:rPr>
          <w:rFonts w:hint="eastAsia" w:ascii="宋体" w:hAnsi="宋体" w:cs="宋体"/>
          <w:color w:val="auto"/>
          <w:sz w:val="22"/>
          <w:szCs w:val="22"/>
          <w:highlight w:val="none"/>
          <w:lang w:val="zh-CN"/>
        </w:rPr>
        <w:t xml:space="preserve">。 </w:t>
      </w:r>
    </w:p>
    <w:p w14:paraId="48FB116D">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一、分包标的及数量</w:t>
      </w:r>
    </w:p>
    <w:p w14:paraId="5165AAFD">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u w:val="single"/>
        </w:rPr>
        <w:t>（投标人名称）</w:t>
      </w:r>
      <w:r>
        <w:rPr>
          <w:rFonts w:hint="eastAsia" w:ascii="宋体" w:hAnsi="宋体" w:cs="宋体"/>
          <w:color w:val="auto"/>
          <w:sz w:val="22"/>
          <w:szCs w:val="22"/>
          <w:highlight w:val="none"/>
          <w:lang w:val="zh-CN"/>
        </w:rPr>
        <w:t>将</w:t>
      </w:r>
      <w:r>
        <w:rPr>
          <w:rFonts w:hint="eastAsia" w:ascii="宋体" w:hAnsi="宋体" w:cs="宋体"/>
          <w:color w:val="auto"/>
          <w:sz w:val="22"/>
          <w:szCs w:val="22"/>
          <w:highlight w:val="none"/>
          <w:u w:val="single"/>
        </w:rPr>
        <w:t xml:space="preserve">   XX工作内容   </w:t>
      </w:r>
      <w:r>
        <w:rPr>
          <w:rFonts w:hint="eastAsia" w:ascii="宋体" w:hAnsi="宋体" w:cs="宋体"/>
          <w:color w:val="auto"/>
          <w:sz w:val="22"/>
          <w:szCs w:val="22"/>
          <w:highlight w:val="none"/>
        </w:rPr>
        <w:t>分包给</w:t>
      </w:r>
      <w:r>
        <w:rPr>
          <w:rFonts w:hint="eastAsia" w:ascii="宋体" w:hAnsi="宋体" w:cs="宋体"/>
          <w:color w:val="auto"/>
          <w:sz w:val="22"/>
          <w:szCs w:val="22"/>
          <w:highlight w:val="none"/>
          <w:u w:val="single"/>
        </w:rPr>
        <w:t>（分包供应商1名称）</w:t>
      </w: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u w:val="single"/>
        </w:rPr>
        <w:t>（分包供应商2名称），</w:t>
      </w:r>
      <w:r>
        <w:rPr>
          <w:rFonts w:hint="eastAsia" w:ascii="宋体" w:hAnsi="宋体" w:cs="宋体"/>
          <w:color w:val="auto"/>
          <w:sz w:val="22"/>
          <w:szCs w:val="22"/>
          <w:highlight w:val="none"/>
          <w:lang w:val="zh-CN"/>
        </w:rPr>
        <w:t>具备承</w:t>
      </w:r>
      <w:r>
        <w:rPr>
          <w:rFonts w:hint="eastAsia" w:ascii="宋体" w:hAnsi="宋体" w:cs="宋体"/>
          <w:color w:val="auto"/>
          <w:sz w:val="22"/>
          <w:szCs w:val="22"/>
          <w:highlight w:val="none"/>
        </w:rPr>
        <w:t>担</w:t>
      </w:r>
      <w:r>
        <w:rPr>
          <w:rFonts w:hint="eastAsia" w:ascii="宋体" w:hAnsi="宋体" w:cs="宋体"/>
          <w:color w:val="auto"/>
          <w:sz w:val="22"/>
          <w:szCs w:val="22"/>
          <w:highlight w:val="none"/>
          <w:u w:val="single"/>
          <w:lang w:val="zh-CN"/>
        </w:rPr>
        <w:t>XX工作内容</w:t>
      </w:r>
      <w:r>
        <w:rPr>
          <w:rFonts w:hint="eastAsia" w:ascii="宋体" w:hAnsi="宋体" w:cs="宋体"/>
          <w:color w:val="auto"/>
          <w:sz w:val="22"/>
          <w:szCs w:val="22"/>
          <w:highlight w:val="none"/>
          <w:lang w:val="zh-CN"/>
        </w:rPr>
        <w:t>相应资质条件且不得再次分包；</w:t>
      </w:r>
    </w:p>
    <w:p w14:paraId="6EB3B9C0">
      <w:pPr>
        <w:rPr>
          <w:rFonts w:ascii="宋体" w:hAnsi="宋体" w:cs="宋体"/>
          <w:color w:val="auto"/>
          <w:sz w:val="22"/>
          <w:szCs w:val="22"/>
          <w:highlight w:val="none"/>
        </w:rPr>
      </w:pPr>
      <w:r>
        <w:rPr>
          <w:rFonts w:hint="eastAsia" w:ascii="宋体" w:hAnsi="宋体" w:cs="宋体"/>
          <w:color w:val="auto"/>
          <w:sz w:val="22"/>
          <w:szCs w:val="22"/>
          <w:highlight w:val="none"/>
        </w:rPr>
        <w:t>……</w:t>
      </w:r>
    </w:p>
    <w:p w14:paraId="2D3281AC">
      <w:pPr>
        <w:rPr>
          <w:rFonts w:ascii="宋体" w:hAnsi="宋体" w:cs="宋体"/>
          <w:color w:val="auto"/>
          <w:sz w:val="22"/>
          <w:szCs w:val="22"/>
          <w:highlight w:val="none"/>
        </w:rPr>
      </w:pPr>
      <w:r>
        <w:rPr>
          <w:rFonts w:hint="eastAsia" w:ascii="宋体" w:hAnsi="宋体" w:cs="宋体"/>
          <w:color w:val="auto"/>
          <w:sz w:val="22"/>
          <w:szCs w:val="22"/>
          <w:highlight w:val="none"/>
          <w:lang w:val="zh-CN"/>
        </w:rPr>
        <w:t xml:space="preserve"> </w:t>
      </w:r>
    </w:p>
    <w:p w14:paraId="1A178D11">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二、分包供应商中小企业合同份额</w:t>
      </w:r>
    </w:p>
    <w:p w14:paraId="5CE18F00">
      <w:pPr>
        <w:snapToGrid w:val="0"/>
        <w:spacing w:line="360" w:lineRule="auto"/>
        <w:ind w:firstLine="576"/>
        <w:rPr>
          <w:rFonts w:ascii="宋体" w:hAnsi="宋体" w:cs="宋体"/>
          <w:b/>
          <w:color w:val="auto"/>
          <w:sz w:val="22"/>
          <w:szCs w:val="22"/>
          <w:highlight w:val="none"/>
          <w:lang w:val="zh-CN"/>
        </w:rPr>
      </w:pPr>
      <w:r>
        <w:rPr>
          <w:rFonts w:hint="eastAsia" w:ascii="宋体" w:hAnsi="宋体" w:cs="宋体"/>
          <w:color w:val="auto"/>
          <w:sz w:val="22"/>
          <w:szCs w:val="22"/>
          <w:highlight w:val="none"/>
        </w:rPr>
        <w:t>1、</w:t>
      </w:r>
      <w:r>
        <w:rPr>
          <w:rFonts w:hint="eastAsia" w:ascii="宋体" w:hAnsi="宋体" w:cs="宋体"/>
          <w:color w:val="auto"/>
          <w:sz w:val="22"/>
          <w:szCs w:val="22"/>
          <w:highlight w:val="none"/>
          <w:u w:val="single"/>
        </w:rPr>
        <w:t>（分包供应商X,……）提供的服务全部由小微企业承接，</w:t>
      </w:r>
      <w:r>
        <w:rPr>
          <w:rFonts w:hint="eastAsia" w:ascii="宋体" w:hAnsi="宋体" w:cs="宋体"/>
          <w:color w:val="auto"/>
          <w:sz w:val="22"/>
          <w:szCs w:val="22"/>
          <w:highlight w:val="none"/>
        </w:rPr>
        <w:t>其合同份额占到合同总金额</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%以上。</w:t>
      </w:r>
      <w:r>
        <w:rPr>
          <w:rFonts w:hint="eastAsia" w:ascii="宋体" w:hAnsi="宋体" w:cs="宋体"/>
          <w:b/>
          <w:color w:val="auto"/>
          <w:sz w:val="22"/>
          <w:szCs w:val="22"/>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2"/>
          <w:szCs w:val="22"/>
          <w:highlight w:val="none"/>
        </w:rPr>
        <w:t>拟享受以上价格扣除政策的，填写有关内容。</w:t>
      </w:r>
      <w:r>
        <w:rPr>
          <w:rFonts w:hint="eastAsia" w:ascii="宋体" w:hAnsi="宋体" w:cs="宋体"/>
          <w:b/>
          <w:color w:val="auto"/>
          <w:sz w:val="22"/>
          <w:szCs w:val="22"/>
          <w:highlight w:val="none"/>
          <w:lang w:val="zh-CN"/>
        </w:rPr>
        <w:t>）</w:t>
      </w:r>
    </w:p>
    <w:p w14:paraId="6AFFBCE8">
      <w:pPr>
        <w:spacing w:line="360" w:lineRule="auto"/>
        <w:ind w:firstLine="440" w:firstLineChars="200"/>
        <w:rPr>
          <w:rFonts w:ascii="宋体" w:hAnsi="宋体" w:cs="宋体"/>
          <w:b/>
          <w:bCs/>
          <w:color w:val="auto"/>
          <w:sz w:val="22"/>
          <w:szCs w:val="22"/>
          <w:highlight w:val="none"/>
          <w:lang w:val="zh-CN"/>
        </w:rPr>
      </w:pPr>
      <w:r>
        <w:rPr>
          <w:rFonts w:hint="eastAsia" w:ascii="宋体" w:hAnsi="宋体" w:cs="宋体"/>
          <w:color w:val="auto"/>
          <w:sz w:val="22"/>
          <w:szCs w:val="22"/>
          <w:highlight w:val="none"/>
        </w:rPr>
        <w:t>2、中小企业合同金额达到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%，小微企业合同金额达到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zh-CN"/>
        </w:rPr>
        <w:t>。</w:t>
      </w:r>
      <w:r>
        <w:rPr>
          <w:rFonts w:hint="eastAsia" w:ascii="宋体" w:hAnsi="宋体" w:cs="宋体"/>
          <w:b/>
          <w:bCs/>
          <w:color w:val="auto"/>
          <w:sz w:val="22"/>
          <w:szCs w:val="22"/>
          <w:highlight w:val="none"/>
          <w:lang w:val="zh-CN"/>
        </w:rPr>
        <w:t>（</w:t>
      </w:r>
      <w:r>
        <w:rPr>
          <w:rFonts w:hint="eastAsia" w:ascii="宋体" w:hAnsi="宋体" w:cs="宋体"/>
          <w:b/>
          <w:bCs/>
          <w:color w:val="auto"/>
          <w:sz w:val="22"/>
          <w:szCs w:val="22"/>
          <w:highlight w:val="none"/>
        </w:rPr>
        <w:t>要求合同分包形式参加的项目或采购包，供应商按招标文件第一部分招标公告申请人的资格要求中规定的</w:t>
      </w:r>
      <w:r>
        <w:rPr>
          <w:rFonts w:hint="eastAsia" w:ascii="宋体" w:hAnsi="宋体" w:cs="宋体"/>
          <w:b/>
          <w:color w:val="auto"/>
          <w:sz w:val="22"/>
          <w:szCs w:val="22"/>
          <w:highlight w:val="none"/>
          <w:lang w:val="zh-CN"/>
        </w:rPr>
        <w:t>分包意向协议</w:t>
      </w:r>
      <w:r>
        <w:rPr>
          <w:rFonts w:hint="eastAsia" w:ascii="宋体" w:hAnsi="宋体" w:cs="宋体"/>
          <w:b/>
          <w:bCs/>
          <w:color w:val="auto"/>
          <w:sz w:val="22"/>
          <w:szCs w:val="22"/>
          <w:highlight w:val="none"/>
        </w:rPr>
        <w:t>中中小企业、小微企业合同金额应当达到的比例要求填写。</w:t>
      </w:r>
      <w:r>
        <w:rPr>
          <w:rFonts w:hint="eastAsia" w:ascii="宋体" w:hAnsi="宋体" w:cs="宋体"/>
          <w:b/>
          <w:bCs/>
          <w:color w:val="auto"/>
          <w:sz w:val="22"/>
          <w:szCs w:val="22"/>
          <w:highlight w:val="none"/>
          <w:lang w:val="zh-CN"/>
        </w:rPr>
        <w:t>）</w:t>
      </w:r>
    </w:p>
    <w:p w14:paraId="5C2600B7">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三、分包工作履行期限、地点、方式</w:t>
      </w:r>
    </w:p>
    <w:p w14:paraId="40A0E2EC">
      <w:pPr>
        <w:snapToGrid w:val="0"/>
        <w:spacing w:line="360" w:lineRule="auto"/>
        <w:ind w:firstLine="576"/>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 xml:space="preserve">                                                                                  </w:t>
      </w:r>
    </w:p>
    <w:p w14:paraId="37166A76">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四、质量</w:t>
      </w:r>
    </w:p>
    <w:p w14:paraId="0F8099A6">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u w:val="single"/>
        </w:rPr>
        <w:t xml:space="preserve">                                                                                       </w:t>
      </w:r>
    </w:p>
    <w:p w14:paraId="0B3293F9">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五、价款或者报酬</w:t>
      </w:r>
    </w:p>
    <w:p w14:paraId="5BBC84FF">
      <w:pPr>
        <w:snapToGrid w:val="0"/>
        <w:spacing w:line="360" w:lineRule="auto"/>
        <w:ind w:left="573" w:leftChars="273"/>
        <w:rPr>
          <w:rFonts w:ascii="宋体" w:hAnsi="宋体" w:cs="宋体"/>
          <w:color w:val="auto"/>
          <w:sz w:val="22"/>
          <w:szCs w:val="22"/>
          <w:highlight w:val="none"/>
          <w:lang w:val="zh-CN"/>
        </w:rPr>
      </w:pPr>
      <w:r>
        <w:rPr>
          <w:rFonts w:hint="eastAsia" w:ascii="宋体" w:hAnsi="宋体" w:cs="宋体"/>
          <w:color w:val="auto"/>
          <w:sz w:val="22"/>
          <w:szCs w:val="22"/>
          <w:highlight w:val="none"/>
          <w:u w:val="single"/>
        </w:rPr>
        <w:t xml:space="preserve">                                                                                     </w:t>
      </w:r>
    </w:p>
    <w:p w14:paraId="1CC52B74">
      <w:pPr>
        <w:snapToGrid w:val="0"/>
        <w:spacing w:line="360" w:lineRule="auto"/>
        <w:ind w:left="573" w:leftChars="273"/>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六、违约责任</w:t>
      </w:r>
    </w:p>
    <w:p w14:paraId="779C108F">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u w:val="single"/>
        </w:rPr>
        <w:t xml:space="preserve">                                                                                     </w:t>
      </w:r>
    </w:p>
    <w:p w14:paraId="053AF4B7">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七、争议解决的办法</w:t>
      </w:r>
    </w:p>
    <w:p w14:paraId="77468E0A">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u w:val="single"/>
        </w:rPr>
        <w:t xml:space="preserve">                                                                                  </w:t>
      </w:r>
    </w:p>
    <w:p w14:paraId="06B56B67">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八、其他</w:t>
      </w:r>
    </w:p>
    <w:p w14:paraId="7AC2DA57">
      <w:pPr>
        <w:snapToGrid w:val="0"/>
        <w:spacing w:line="360" w:lineRule="auto"/>
        <w:ind w:left="5338" w:leftChars="342" w:hanging="4620" w:hangingChars="2100"/>
        <w:rPr>
          <w:rFonts w:ascii="宋体" w:hAnsi="宋体" w:cs="宋体"/>
          <w:color w:val="auto"/>
          <w:sz w:val="22"/>
          <w:szCs w:val="22"/>
          <w:highlight w:val="none"/>
          <w:lang w:val="zh-CN"/>
        </w:rPr>
      </w:pPr>
      <w:r>
        <w:rPr>
          <w:rFonts w:hint="eastAsia" w:ascii="宋体" w:hAnsi="宋体" w:cs="宋体"/>
          <w:color w:val="auto"/>
          <w:sz w:val="22"/>
          <w:szCs w:val="22"/>
          <w:highlight w:val="none"/>
        </w:rPr>
        <w:t>中小企业合同金额达到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%，小微企业合同金额达到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zh-CN"/>
        </w:rPr>
        <w:t xml:space="preserve">。 </w:t>
      </w:r>
    </w:p>
    <w:p w14:paraId="583E2971">
      <w:pPr>
        <w:snapToGrid w:val="0"/>
        <w:spacing w:line="360" w:lineRule="auto"/>
        <w:ind w:left="5338" w:leftChars="342" w:hanging="4620" w:hangingChars="21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 xml:space="preserve">                                          投标人名称(电子签名)：</w:t>
      </w:r>
    </w:p>
    <w:p w14:paraId="5734790F">
      <w:pPr>
        <w:snapToGrid w:val="0"/>
        <w:spacing w:line="360" w:lineRule="auto"/>
        <w:jc w:val="center"/>
        <w:rPr>
          <w:rFonts w:ascii="宋体" w:hAnsi="宋体" w:cs="宋体"/>
          <w:color w:val="auto"/>
          <w:sz w:val="22"/>
          <w:szCs w:val="22"/>
          <w:highlight w:val="none"/>
          <w:lang w:val="zh-CN"/>
        </w:rPr>
      </w:pP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lang w:val="zh-CN"/>
        </w:rPr>
        <w:t>分包供应商名称(电子签名/公章)：</w:t>
      </w:r>
    </w:p>
    <w:p w14:paraId="74EE1539">
      <w:pPr>
        <w:snapToGrid w:val="0"/>
        <w:spacing w:line="360" w:lineRule="auto"/>
        <w:ind w:firstLine="5280" w:firstLineChars="2400"/>
        <w:rPr>
          <w:rFonts w:ascii="宋体" w:hAnsi="宋体" w:cs="宋体"/>
          <w:color w:val="auto"/>
          <w:sz w:val="22"/>
          <w:szCs w:val="22"/>
          <w:highlight w:val="none"/>
        </w:rPr>
      </w:pPr>
      <w:r>
        <w:rPr>
          <w:rFonts w:hint="eastAsia" w:ascii="宋体" w:hAnsi="宋体" w:cs="宋体"/>
          <w:color w:val="auto"/>
          <w:sz w:val="22"/>
          <w:szCs w:val="22"/>
          <w:highlight w:val="none"/>
          <w:lang w:val="zh-CN"/>
        </w:rPr>
        <w:t>……</w:t>
      </w:r>
    </w:p>
    <w:p w14:paraId="7E7638E7">
      <w:pPr>
        <w:snapToGrid w:val="0"/>
        <w:spacing w:line="360" w:lineRule="auto"/>
        <w:ind w:left="5338" w:leftChars="342" w:hanging="4620" w:hangingChars="21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 xml:space="preserve">                                        日期：  年  月   日</w:t>
      </w:r>
    </w:p>
    <w:p w14:paraId="26FA1D14">
      <w:pPr>
        <w:rPr>
          <w:color w:val="auto"/>
          <w:highlight w:val="none"/>
          <w:lang w:val="zh-CN"/>
        </w:rPr>
      </w:pPr>
      <w:r>
        <w:rPr>
          <w:rFonts w:hint="eastAsia" w:ascii="宋体" w:hAnsi="宋体" w:cs="宋体"/>
          <w:color w:val="auto"/>
          <w:sz w:val="22"/>
          <w:szCs w:val="22"/>
          <w:highlight w:val="none"/>
        </w:rPr>
        <w:t>注：按本格式和要求提供。</w:t>
      </w:r>
    </w:p>
    <w:p w14:paraId="71814728">
      <w:pPr>
        <w:pStyle w:val="3"/>
        <w:spacing w:line="240" w:lineRule="auto"/>
        <w:rPr>
          <w:rFonts w:ascii="宋体" w:hAnsi="宋体" w:eastAsia="宋体" w:cs="宋体"/>
          <w:color w:val="auto"/>
          <w:sz w:val="24"/>
          <w:szCs w:val="24"/>
          <w:highlight w:val="none"/>
        </w:rPr>
      </w:pPr>
      <w:bookmarkStart w:id="180" w:name="_Toc497"/>
      <w:r>
        <w:rPr>
          <w:rFonts w:hint="eastAsia" w:ascii="宋体" w:hAnsi="宋体" w:eastAsia="宋体" w:cs="宋体"/>
          <w:color w:val="auto"/>
          <w:sz w:val="24"/>
          <w:szCs w:val="24"/>
          <w:highlight w:val="none"/>
        </w:rPr>
        <w:t>附件</w:t>
      </w:r>
      <w:bookmarkEnd w:id="172"/>
      <w:bookmarkEnd w:id="173"/>
      <w:bookmarkEnd w:id="174"/>
      <w:r>
        <w:rPr>
          <w:rFonts w:hint="eastAsia" w:ascii="宋体" w:hAnsi="宋体" w:eastAsia="宋体" w:cs="宋体"/>
          <w:color w:val="auto"/>
          <w:sz w:val="24"/>
          <w:szCs w:val="24"/>
          <w:highlight w:val="none"/>
        </w:rPr>
        <w:t>五 商务条款、技术规格偏离表</w:t>
      </w:r>
      <w:bookmarkEnd w:id="180"/>
    </w:p>
    <w:p w14:paraId="471F9A46">
      <w:pPr>
        <w:spacing w:line="440" w:lineRule="exact"/>
        <w:ind w:firstLine="437"/>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商务条款、技术规格偏离表</w:t>
      </w:r>
    </w:p>
    <w:p w14:paraId="44BDC8A2">
      <w:pPr>
        <w:spacing w:line="560" w:lineRule="exact"/>
        <w:rPr>
          <w:rFonts w:ascii="宋体" w:hAnsi="宋体" w:cs="宋体"/>
          <w:b/>
          <w:bCs/>
          <w:color w:val="auto"/>
          <w:sz w:val="22"/>
          <w:szCs w:val="22"/>
          <w:highlight w:val="none"/>
        </w:rPr>
      </w:pPr>
      <w:r>
        <w:rPr>
          <w:rFonts w:hint="eastAsia" w:ascii="宋体" w:hAnsi="宋体" w:cs="宋体"/>
          <w:b/>
          <w:color w:val="auto"/>
          <w:sz w:val="22"/>
          <w:szCs w:val="22"/>
          <w:highlight w:val="none"/>
        </w:rPr>
        <w:t>项目名称：                                                项目编号：</w:t>
      </w:r>
    </w:p>
    <w:tbl>
      <w:tblPr>
        <w:tblStyle w:val="39"/>
        <w:tblW w:w="9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362"/>
        <w:gridCol w:w="2095"/>
        <w:gridCol w:w="1991"/>
        <w:gridCol w:w="1866"/>
        <w:gridCol w:w="1592"/>
      </w:tblGrid>
      <w:tr w14:paraId="1E3B8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942" w:type="dxa"/>
            <w:tcBorders>
              <w:top w:val="single" w:color="auto" w:sz="4" w:space="0"/>
              <w:left w:val="single" w:color="auto" w:sz="4" w:space="0"/>
              <w:bottom w:val="single" w:color="auto" w:sz="4" w:space="0"/>
              <w:right w:val="single" w:color="auto" w:sz="4" w:space="0"/>
            </w:tcBorders>
            <w:shd w:val="clear" w:color="auto" w:fill="B3B3B3"/>
          </w:tcPr>
          <w:p w14:paraId="19A07241">
            <w:pPr>
              <w:spacing w:line="380" w:lineRule="exact"/>
              <w:jc w:val="center"/>
              <w:rPr>
                <w:rFonts w:ascii="宋体" w:hAnsi="宋体" w:cs="宋体"/>
                <w:color w:val="auto"/>
                <w:sz w:val="22"/>
                <w:highlight w:val="none"/>
              </w:rPr>
            </w:pPr>
          </w:p>
        </w:tc>
        <w:tc>
          <w:tcPr>
            <w:tcW w:w="1362" w:type="dxa"/>
            <w:tcBorders>
              <w:top w:val="single" w:color="auto" w:sz="4" w:space="0"/>
              <w:left w:val="single" w:color="auto" w:sz="4" w:space="0"/>
              <w:bottom w:val="single" w:color="auto" w:sz="4" w:space="0"/>
              <w:right w:val="single" w:color="auto" w:sz="4" w:space="0"/>
            </w:tcBorders>
            <w:shd w:val="clear" w:color="auto" w:fill="B3B3B3"/>
            <w:vAlign w:val="center"/>
          </w:tcPr>
          <w:p w14:paraId="56ADBFE0">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序号</w:t>
            </w:r>
          </w:p>
        </w:tc>
        <w:tc>
          <w:tcPr>
            <w:tcW w:w="2095" w:type="dxa"/>
            <w:tcBorders>
              <w:top w:val="single" w:color="auto" w:sz="4" w:space="0"/>
              <w:left w:val="single" w:color="auto" w:sz="4" w:space="0"/>
              <w:bottom w:val="single" w:color="auto" w:sz="4" w:space="0"/>
              <w:right w:val="single" w:color="auto" w:sz="4" w:space="0"/>
            </w:tcBorders>
            <w:shd w:val="clear" w:color="auto" w:fill="B3B3B3"/>
            <w:vAlign w:val="center"/>
          </w:tcPr>
          <w:p w14:paraId="7A8EA510">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招标文件</w:t>
            </w:r>
          </w:p>
          <w:p w14:paraId="61C401BA">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条目号</w:t>
            </w:r>
          </w:p>
        </w:tc>
        <w:tc>
          <w:tcPr>
            <w:tcW w:w="1991" w:type="dxa"/>
            <w:tcBorders>
              <w:top w:val="single" w:color="auto" w:sz="4" w:space="0"/>
              <w:left w:val="single" w:color="auto" w:sz="4" w:space="0"/>
              <w:bottom w:val="single" w:color="auto" w:sz="4" w:space="0"/>
              <w:right w:val="single" w:color="auto" w:sz="4" w:space="0"/>
            </w:tcBorders>
            <w:shd w:val="clear" w:color="auto" w:fill="B3B3B3"/>
            <w:vAlign w:val="center"/>
          </w:tcPr>
          <w:p w14:paraId="004D5CC9">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招标文件</w:t>
            </w:r>
          </w:p>
          <w:p w14:paraId="372911F4">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规范要求</w:t>
            </w:r>
          </w:p>
        </w:tc>
        <w:tc>
          <w:tcPr>
            <w:tcW w:w="1866" w:type="dxa"/>
            <w:tcBorders>
              <w:top w:val="single" w:color="auto" w:sz="4" w:space="0"/>
              <w:left w:val="single" w:color="auto" w:sz="4" w:space="0"/>
              <w:bottom w:val="single" w:color="auto" w:sz="4" w:space="0"/>
              <w:right w:val="single" w:color="auto" w:sz="4" w:space="0"/>
            </w:tcBorders>
            <w:shd w:val="clear" w:color="auto" w:fill="B3B3B3"/>
            <w:vAlign w:val="center"/>
          </w:tcPr>
          <w:p w14:paraId="77B6D8B7">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投标文件</w:t>
            </w:r>
          </w:p>
          <w:p w14:paraId="61206A55">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对应规范</w:t>
            </w:r>
          </w:p>
        </w:tc>
        <w:tc>
          <w:tcPr>
            <w:tcW w:w="1592" w:type="dxa"/>
            <w:tcBorders>
              <w:top w:val="single" w:color="auto" w:sz="4" w:space="0"/>
              <w:left w:val="single" w:color="auto" w:sz="4" w:space="0"/>
              <w:bottom w:val="single" w:color="auto" w:sz="4" w:space="0"/>
              <w:right w:val="single" w:color="auto" w:sz="4" w:space="0"/>
            </w:tcBorders>
            <w:shd w:val="clear" w:color="auto" w:fill="B3B3B3"/>
            <w:vAlign w:val="center"/>
          </w:tcPr>
          <w:p w14:paraId="6928EE52">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说明</w:t>
            </w:r>
          </w:p>
        </w:tc>
      </w:tr>
      <w:tr w14:paraId="247EE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42" w:type="dxa"/>
            <w:vMerge w:val="restart"/>
            <w:tcBorders>
              <w:top w:val="single" w:color="auto" w:sz="4" w:space="0"/>
              <w:left w:val="single" w:color="auto" w:sz="4" w:space="0"/>
              <w:bottom w:val="single" w:color="auto" w:sz="4" w:space="0"/>
              <w:right w:val="single" w:color="auto" w:sz="4" w:space="0"/>
            </w:tcBorders>
            <w:vAlign w:val="center"/>
          </w:tcPr>
          <w:p w14:paraId="4315670A">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商</w:t>
            </w:r>
          </w:p>
          <w:p w14:paraId="12F75E37">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务</w:t>
            </w:r>
          </w:p>
          <w:p w14:paraId="3FBEE8F4">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条</w:t>
            </w:r>
          </w:p>
          <w:p w14:paraId="42DC00A9">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款</w:t>
            </w:r>
          </w:p>
        </w:tc>
        <w:tc>
          <w:tcPr>
            <w:tcW w:w="1362" w:type="dxa"/>
            <w:tcBorders>
              <w:top w:val="single" w:color="auto" w:sz="4" w:space="0"/>
              <w:left w:val="single" w:color="auto" w:sz="4" w:space="0"/>
              <w:bottom w:val="single" w:color="auto" w:sz="4" w:space="0"/>
              <w:right w:val="single" w:color="auto" w:sz="4" w:space="0"/>
            </w:tcBorders>
            <w:vAlign w:val="center"/>
          </w:tcPr>
          <w:p w14:paraId="616E78B4">
            <w:pPr>
              <w:spacing w:line="380" w:lineRule="exact"/>
              <w:jc w:val="center"/>
              <w:rPr>
                <w:rFonts w:ascii="宋体" w:hAnsi="宋体" w:cs="宋体"/>
                <w:color w:val="auto"/>
                <w:sz w:val="22"/>
                <w:highlight w:val="none"/>
              </w:rPr>
            </w:pPr>
          </w:p>
        </w:tc>
        <w:tc>
          <w:tcPr>
            <w:tcW w:w="2095" w:type="dxa"/>
            <w:tcBorders>
              <w:top w:val="single" w:color="auto" w:sz="4" w:space="0"/>
              <w:left w:val="single" w:color="auto" w:sz="4" w:space="0"/>
              <w:bottom w:val="single" w:color="auto" w:sz="4" w:space="0"/>
              <w:right w:val="single" w:color="auto" w:sz="4" w:space="0"/>
            </w:tcBorders>
            <w:vAlign w:val="center"/>
          </w:tcPr>
          <w:p w14:paraId="17684128">
            <w:pPr>
              <w:spacing w:line="380" w:lineRule="exact"/>
              <w:jc w:val="center"/>
              <w:rPr>
                <w:rFonts w:ascii="宋体" w:hAnsi="宋体" w:cs="宋体"/>
                <w:color w:val="auto"/>
                <w:sz w:val="22"/>
                <w:highlight w:val="none"/>
              </w:rPr>
            </w:pPr>
          </w:p>
        </w:tc>
        <w:tc>
          <w:tcPr>
            <w:tcW w:w="1991" w:type="dxa"/>
            <w:tcBorders>
              <w:top w:val="single" w:color="auto" w:sz="4" w:space="0"/>
              <w:left w:val="single" w:color="auto" w:sz="4" w:space="0"/>
              <w:bottom w:val="single" w:color="auto" w:sz="4" w:space="0"/>
              <w:right w:val="single" w:color="auto" w:sz="4" w:space="0"/>
            </w:tcBorders>
            <w:vAlign w:val="center"/>
          </w:tcPr>
          <w:p w14:paraId="22E8BBD6">
            <w:pPr>
              <w:spacing w:line="380" w:lineRule="exact"/>
              <w:jc w:val="center"/>
              <w:rPr>
                <w:rFonts w:ascii="宋体" w:hAnsi="宋体" w:cs="宋体"/>
                <w:color w:val="auto"/>
                <w:sz w:val="22"/>
                <w:highlight w:val="none"/>
              </w:rPr>
            </w:pPr>
          </w:p>
        </w:tc>
        <w:tc>
          <w:tcPr>
            <w:tcW w:w="1866" w:type="dxa"/>
            <w:tcBorders>
              <w:top w:val="single" w:color="auto" w:sz="4" w:space="0"/>
              <w:left w:val="single" w:color="auto" w:sz="4" w:space="0"/>
              <w:bottom w:val="single" w:color="auto" w:sz="4" w:space="0"/>
              <w:right w:val="single" w:color="auto" w:sz="4" w:space="0"/>
            </w:tcBorders>
            <w:vAlign w:val="center"/>
          </w:tcPr>
          <w:p w14:paraId="049F02DB">
            <w:pPr>
              <w:spacing w:line="380" w:lineRule="exact"/>
              <w:jc w:val="center"/>
              <w:rPr>
                <w:rFonts w:ascii="宋体" w:hAnsi="宋体" w:cs="宋体"/>
                <w:color w:val="auto"/>
                <w:sz w:val="22"/>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14:paraId="73EFF96F">
            <w:pPr>
              <w:spacing w:line="380" w:lineRule="exact"/>
              <w:jc w:val="center"/>
              <w:rPr>
                <w:rFonts w:ascii="宋体" w:hAnsi="宋体" w:cs="宋体"/>
                <w:color w:val="auto"/>
                <w:sz w:val="22"/>
                <w:highlight w:val="none"/>
              </w:rPr>
            </w:pPr>
          </w:p>
        </w:tc>
      </w:tr>
      <w:tr w14:paraId="5CD7F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2" w:type="dxa"/>
            <w:vMerge w:val="continue"/>
            <w:tcBorders>
              <w:top w:val="single" w:color="auto" w:sz="4" w:space="0"/>
              <w:left w:val="single" w:color="auto" w:sz="4" w:space="0"/>
              <w:bottom w:val="single" w:color="auto" w:sz="4" w:space="0"/>
              <w:right w:val="single" w:color="auto" w:sz="4" w:space="0"/>
            </w:tcBorders>
            <w:vAlign w:val="center"/>
          </w:tcPr>
          <w:p w14:paraId="0AA61D23">
            <w:pPr>
              <w:widowControl/>
              <w:jc w:val="left"/>
              <w:rPr>
                <w:rFonts w:ascii="宋体" w:hAnsi="宋体" w:cs="宋体"/>
                <w:b/>
                <w:color w:val="auto"/>
                <w:sz w:val="22"/>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14:paraId="7740F54F">
            <w:pPr>
              <w:spacing w:line="380" w:lineRule="exact"/>
              <w:jc w:val="center"/>
              <w:rPr>
                <w:rFonts w:ascii="宋体" w:hAnsi="宋体" w:cs="宋体"/>
                <w:color w:val="auto"/>
                <w:sz w:val="22"/>
                <w:highlight w:val="none"/>
              </w:rPr>
            </w:pPr>
          </w:p>
        </w:tc>
        <w:tc>
          <w:tcPr>
            <w:tcW w:w="2095" w:type="dxa"/>
            <w:tcBorders>
              <w:top w:val="single" w:color="auto" w:sz="4" w:space="0"/>
              <w:left w:val="single" w:color="auto" w:sz="4" w:space="0"/>
              <w:bottom w:val="single" w:color="auto" w:sz="4" w:space="0"/>
              <w:right w:val="single" w:color="auto" w:sz="4" w:space="0"/>
            </w:tcBorders>
            <w:vAlign w:val="center"/>
          </w:tcPr>
          <w:p w14:paraId="61E45661">
            <w:pPr>
              <w:spacing w:line="380" w:lineRule="exact"/>
              <w:jc w:val="center"/>
              <w:rPr>
                <w:rFonts w:ascii="宋体" w:hAnsi="宋体" w:cs="宋体"/>
                <w:color w:val="auto"/>
                <w:sz w:val="22"/>
                <w:highlight w:val="none"/>
              </w:rPr>
            </w:pPr>
          </w:p>
        </w:tc>
        <w:tc>
          <w:tcPr>
            <w:tcW w:w="1991" w:type="dxa"/>
            <w:tcBorders>
              <w:top w:val="single" w:color="auto" w:sz="4" w:space="0"/>
              <w:left w:val="single" w:color="auto" w:sz="4" w:space="0"/>
              <w:bottom w:val="single" w:color="auto" w:sz="4" w:space="0"/>
              <w:right w:val="single" w:color="auto" w:sz="4" w:space="0"/>
            </w:tcBorders>
            <w:vAlign w:val="center"/>
          </w:tcPr>
          <w:p w14:paraId="20509FCD">
            <w:pPr>
              <w:spacing w:line="380" w:lineRule="exact"/>
              <w:jc w:val="center"/>
              <w:rPr>
                <w:rFonts w:ascii="宋体" w:hAnsi="宋体" w:cs="宋体"/>
                <w:color w:val="auto"/>
                <w:sz w:val="22"/>
                <w:highlight w:val="none"/>
              </w:rPr>
            </w:pPr>
          </w:p>
        </w:tc>
        <w:tc>
          <w:tcPr>
            <w:tcW w:w="1866" w:type="dxa"/>
            <w:tcBorders>
              <w:top w:val="single" w:color="auto" w:sz="4" w:space="0"/>
              <w:left w:val="single" w:color="auto" w:sz="4" w:space="0"/>
              <w:bottom w:val="single" w:color="auto" w:sz="4" w:space="0"/>
              <w:right w:val="single" w:color="auto" w:sz="4" w:space="0"/>
            </w:tcBorders>
            <w:vAlign w:val="center"/>
          </w:tcPr>
          <w:p w14:paraId="25794D90">
            <w:pPr>
              <w:spacing w:line="380" w:lineRule="exact"/>
              <w:jc w:val="center"/>
              <w:rPr>
                <w:rFonts w:ascii="宋体" w:hAnsi="宋体" w:cs="宋体"/>
                <w:color w:val="auto"/>
                <w:sz w:val="22"/>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14:paraId="04D329EC">
            <w:pPr>
              <w:spacing w:line="380" w:lineRule="exact"/>
              <w:jc w:val="center"/>
              <w:rPr>
                <w:rFonts w:ascii="宋体" w:hAnsi="宋体" w:cs="宋体"/>
                <w:color w:val="auto"/>
                <w:sz w:val="22"/>
                <w:highlight w:val="none"/>
              </w:rPr>
            </w:pPr>
          </w:p>
        </w:tc>
      </w:tr>
      <w:tr w14:paraId="0DC68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2" w:type="dxa"/>
            <w:vMerge w:val="continue"/>
            <w:tcBorders>
              <w:top w:val="single" w:color="auto" w:sz="4" w:space="0"/>
              <w:left w:val="single" w:color="auto" w:sz="4" w:space="0"/>
              <w:bottom w:val="single" w:color="auto" w:sz="4" w:space="0"/>
              <w:right w:val="single" w:color="auto" w:sz="4" w:space="0"/>
            </w:tcBorders>
            <w:vAlign w:val="center"/>
          </w:tcPr>
          <w:p w14:paraId="23B15272">
            <w:pPr>
              <w:widowControl/>
              <w:jc w:val="left"/>
              <w:rPr>
                <w:rFonts w:ascii="宋体" w:hAnsi="宋体" w:cs="宋体"/>
                <w:b/>
                <w:color w:val="auto"/>
                <w:sz w:val="22"/>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14:paraId="4C81B81F">
            <w:pPr>
              <w:spacing w:line="380" w:lineRule="exact"/>
              <w:jc w:val="center"/>
              <w:rPr>
                <w:rFonts w:ascii="宋体" w:hAnsi="宋体" w:cs="宋体"/>
                <w:color w:val="auto"/>
                <w:sz w:val="22"/>
                <w:highlight w:val="none"/>
              </w:rPr>
            </w:pPr>
          </w:p>
        </w:tc>
        <w:tc>
          <w:tcPr>
            <w:tcW w:w="2095" w:type="dxa"/>
            <w:tcBorders>
              <w:top w:val="single" w:color="auto" w:sz="4" w:space="0"/>
              <w:left w:val="single" w:color="auto" w:sz="4" w:space="0"/>
              <w:bottom w:val="single" w:color="auto" w:sz="4" w:space="0"/>
              <w:right w:val="single" w:color="auto" w:sz="4" w:space="0"/>
            </w:tcBorders>
            <w:vAlign w:val="center"/>
          </w:tcPr>
          <w:p w14:paraId="14379F87">
            <w:pPr>
              <w:spacing w:line="380" w:lineRule="exact"/>
              <w:jc w:val="center"/>
              <w:rPr>
                <w:rFonts w:ascii="宋体" w:hAnsi="宋体" w:cs="宋体"/>
                <w:color w:val="auto"/>
                <w:sz w:val="22"/>
                <w:highlight w:val="none"/>
              </w:rPr>
            </w:pPr>
          </w:p>
        </w:tc>
        <w:tc>
          <w:tcPr>
            <w:tcW w:w="1991" w:type="dxa"/>
            <w:tcBorders>
              <w:top w:val="single" w:color="auto" w:sz="4" w:space="0"/>
              <w:left w:val="single" w:color="auto" w:sz="4" w:space="0"/>
              <w:bottom w:val="single" w:color="auto" w:sz="4" w:space="0"/>
              <w:right w:val="single" w:color="auto" w:sz="4" w:space="0"/>
            </w:tcBorders>
            <w:vAlign w:val="center"/>
          </w:tcPr>
          <w:p w14:paraId="44DE9897">
            <w:pPr>
              <w:spacing w:line="380" w:lineRule="exact"/>
              <w:jc w:val="center"/>
              <w:rPr>
                <w:rFonts w:ascii="宋体" w:hAnsi="宋体" w:cs="宋体"/>
                <w:color w:val="auto"/>
                <w:sz w:val="22"/>
                <w:highlight w:val="none"/>
              </w:rPr>
            </w:pPr>
          </w:p>
        </w:tc>
        <w:tc>
          <w:tcPr>
            <w:tcW w:w="1866" w:type="dxa"/>
            <w:tcBorders>
              <w:top w:val="single" w:color="auto" w:sz="4" w:space="0"/>
              <w:left w:val="single" w:color="auto" w:sz="4" w:space="0"/>
              <w:bottom w:val="single" w:color="auto" w:sz="4" w:space="0"/>
              <w:right w:val="single" w:color="auto" w:sz="4" w:space="0"/>
            </w:tcBorders>
            <w:vAlign w:val="center"/>
          </w:tcPr>
          <w:p w14:paraId="242FC361">
            <w:pPr>
              <w:spacing w:line="380" w:lineRule="exact"/>
              <w:jc w:val="center"/>
              <w:rPr>
                <w:rFonts w:ascii="宋体" w:hAnsi="宋体" w:cs="宋体"/>
                <w:color w:val="auto"/>
                <w:sz w:val="22"/>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14:paraId="25CAD048">
            <w:pPr>
              <w:spacing w:line="380" w:lineRule="exact"/>
              <w:jc w:val="center"/>
              <w:rPr>
                <w:rFonts w:ascii="宋体" w:hAnsi="宋体" w:cs="宋体"/>
                <w:color w:val="auto"/>
                <w:sz w:val="22"/>
                <w:highlight w:val="none"/>
              </w:rPr>
            </w:pPr>
          </w:p>
        </w:tc>
      </w:tr>
      <w:tr w14:paraId="4032B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2" w:type="dxa"/>
            <w:vMerge w:val="continue"/>
            <w:tcBorders>
              <w:top w:val="single" w:color="auto" w:sz="4" w:space="0"/>
              <w:left w:val="single" w:color="auto" w:sz="4" w:space="0"/>
              <w:bottom w:val="single" w:color="auto" w:sz="4" w:space="0"/>
              <w:right w:val="single" w:color="auto" w:sz="4" w:space="0"/>
            </w:tcBorders>
            <w:vAlign w:val="center"/>
          </w:tcPr>
          <w:p w14:paraId="42C1A3BC">
            <w:pPr>
              <w:widowControl/>
              <w:jc w:val="left"/>
              <w:rPr>
                <w:rFonts w:ascii="宋体" w:hAnsi="宋体" w:cs="宋体"/>
                <w:b/>
                <w:color w:val="auto"/>
                <w:sz w:val="22"/>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14:paraId="773936B9">
            <w:pPr>
              <w:spacing w:line="380" w:lineRule="exact"/>
              <w:jc w:val="center"/>
              <w:rPr>
                <w:rFonts w:ascii="宋体" w:hAnsi="宋体" w:cs="宋体"/>
                <w:color w:val="auto"/>
                <w:sz w:val="22"/>
                <w:highlight w:val="none"/>
              </w:rPr>
            </w:pPr>
          </w:p>
        </w:tc>
        <w:tc>
          <w:tcPr>
            <w:tcW w:w="2095" w:type="dxa"/>
            <w:tcBorders>
              <w:top w:val="single" w:color="auto" w:sz="4" w:space="0"/>
              <w:left w:val="single" w:color="auto" w:sz="4" w:space="0"/>
              <w:bottom w:val="single" w:color="auto" w:sz="4" w:space="0"/>
              <w:right w:val="single" w:color="auto" w:sz="4" w:space="0"/>
            </w:tcBorders>
            <w:vAlign w:val="center"/>
          </w:tcPr>
          <w:p w14:paraId="572CF190">
            <w:pPr>
              <w:spacing w:line="380" w:lineRule="exact"/>
              <w:jc w:val="center"/>
              <w:rPr>
                <w:rFonts w:ascii="宋体" w:hAnsi="宋体" w:cs="宋体"/>
                <w:color w:val="auto"/>
                <w:sz w:val="22"/>
                <w:highlight w:val="none"/>
              </w:rPr>
            </w:pPr>
          </w:p>
        </w:tc>
        <w:tc>
          <w:tcPr>
            <w:tcW w:w="1991" w:type="dxa"/>
            <w:tcBorders>
              <w:top w:val="single" w:color="auto" w:sz="4" w:space="0"/>
              <w:left w:val="single" w:color="auto" w:sz="4" w:space="0"/>
              <w:bottom w:val="single" w:color="auto" w:sz="4" w:space="0"/>
              <w:right w:val="single" w:color="auto" w:sz="4" w:space="0"/>
            </w:tcBorders>
            <w:vAlign w:val="center"/>
          </w:tcPr>
          <w:p w14:paraId="245FA6CF">
            <w:pPr>
              <w:spacing w:line="380" w:lineRule="exact"/>
              <w:jc w:val="center"/>
              <w:rPr>
                <w:rFonts w:ascii="宋体" w:hAnsi="宋体" w:cs="宋体"/>
                <w:color w:val="auto"/>
                <w:sz w:val="22"/>
                <w:highlight w:val="none"/>
              </w:rPr>
            </w:pPr>
          </w:p>
        </w:tc>
        <w:tc>
          <w:tcPr>
            <w:tcW w:w="1866" w:type="dxa"/>
            <w:tcBorders>
              <w:top w:val="single" w:color="auto" w:sz="4" w:space="0"/>
              <w:left w:val="single" w:color="auto" w:sz="4" w:space="0"/>
              <w:bottom w:val="single" w:color="auto" w:sz="4" w:space="0"/>
              <w:right w:val="single" w:color="auto" w:sz="4" w:space="0"/>
            </w:tcBorders>
            <w:vAlign w:val="center"/>
          </w:tcPr>
          <w:p w14:paraId="5C677404">
            <w:pPr>
              <w:spacing w:line="380" w:lineRule="exact"/>
              <w:jc w:val="center"/>
              <w:rPr>
                <w:rFonts w:ascii="宋体" w:hAnsi="宋体" w:cs="宋体"/>
                <w:color w:val="auto"/>
                <w:sz w:val="22"/>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14:paraId="34DB3E7A">
            <w:pPr>
              <w:spacing w:line="380" w:lineRule="exact"/>
              <w:jc w:val="center"/>
              <w:rPr>
                <w:rFonts w:ascii="宋体" w:hAnsi="宋体" w:cs="宋体"/>
                <w:color w:val="auto"/>
                <w:sz w:val="22"/>
                <w:highlight w:val="none"/>
              </w:rPr>
            </w:pPr>
          </w:p>
        </w:tc>
      </w:tr>
      <w:tr w14:paraId="0AA7A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2" w:type="dxa"/>
            <w:vMerge w:val="continue"/>
            <w:tcBorders>
              <w:top w:val="single" w:color="auto" w:sz="4" w:space="0"/>
              <w:left w:val="single" w:color="auto" w:sz="4" w:space="0"/>
              <w:bottom w:val="single" w:color="auto" w:sz="4" w:space="0"/>
              <w:right w:val="single" w:color="auto" w:sz="4" w:space="0"/>
            </w:tcBorders>
            <w:vAlign w:val="center"/>
          </w:tcPr>
          <w:p w14:paraId="7ABBEE05">
            <w:pPr>
              <w:widowControl/>
              <w:jc w:val="left"/>
              <w:rPr>
                <w:rFonts w:ascii="宋体" w:hAnsi="宋体" w:cs="宋体"/>
                <w:b/>
                <w:color w:val="auto"/>
                <w:sz w:val="22"/>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14:paraId="4B9DEC7D">
            <w:pPr>
              <w:spacing w:line="380" w:lineRule="exact"/>
              <w:jc w:val="center"/>
              <w:rPr>
                <w:rFonts w:ascii="宋体" w:hAnsi="宋体" w:cs="宋体"/>
                <w:color w:val="auto"/>
                <w:sz w:val="22"/>
                <w:highlight w:val="none"/>
              </w:rPr>
            </w:pPr>
          </w:p>
        </w:tc>
        <w:tc>
          <w:tcPr>
            <w:tcW w:w="2095" w:type="dxa"/>
            <w:tcBorders>
              <w:top w:val="single" w:color="auto" w:sz="4" w:space="0"/>
              <w:left w:val="single" w:color="auto" w:sz="4" w:space="0"/>
              <w:bottom w:val="single" w:color="auto" w:sz="4" w:space="0"/>
              <w:right w:val="single" w:color="auto" w:sz="4" w:space="0"/>
            </w:tcBorders>
            <w:vAlign w:val="center"/>
          </w:tcPr>
          <w:p w14:paraId="271D07C6">
            <w:pPr>
              <w:spacing w:line="380" w:lineRule="exact"/>
              <w:jc w:val="center"/>
              <w:rPr>
                <w:rFonts w:ascii="宋体" w:hAnsi="宋体" w:cs="宋体"/>
                <w:color w:val="auto"/>
                <w:sz w:val="22"/>
                <w:highlight w:val="none"/>
              </w:rPr>
            </w:pPr>
          </w:p>
        </w:tc>
        <w:tc>
          <w:tcPr>
            <w:tcW w:w="1991" w:type="dxa"/>
            <w:tcBorders>
              <w:top w:val="single" w:color="auto" w:sz="4" w:space="0"/>
              <w:left w:val="single" w:color="auto" w:sz="4" w:space="0"/>
              <w:bottom w:val="single" w:color="auto" w:sz="4" w:space="0"/>
              <w:right w:val="single" w:color="auto" w:sz="4" w:space="0"/>
            </w:tcBorders>
            <w:vAlign w:val="center"/>
          </w:tcPr>
          <w:p w14:paraId="10422CC3">
            <w:pPr>
              <w:spacing w:line="380" w:lineRule="exact"/>
              <w:jc w:val="center"/>
              <w:rPr>
                <w:rFonts w:ascii="宋体" w:hAnsi="宋体" w:cs="宋体"/>
                <w:color w:val="auto"/>
                <w:sz w:val="22"/>
                <w:highlight w:val="none"/>
              </w:rPr>
            </w:pPr>
          </w:p>
        </w:tc>
        <w:tc>
          <w:tcPr>
            <w:tcW w:w="1866" w:type="dxa"/>
            <w:tcBorders>
              <w:top w:val="single" w:color="auto" w:sz="4" w:space="0"/>
              <w:left w:val="single" w:color="auto" w:sz="4" w:space="0"/>
              <w:bottom w:val="single" w:color="auto" w:sz="4" w:space="0"/>
              <w:right w:val="single" w:color="auto" w:sz="4" w:space="0"/>
            </w:tcBorders>
            <w:vAlign w:val="center"/>
          </w:tcPr>
          <w:p w14:paraId="48B11376">
            <w:pPr>
              <w:spacing w:line="380" w:lineRule="exact"/>
              <w:jc w:val="center"/>
              <w:rPr>
                <w:rFonts w:ascii="宋体" w:hAnsi="宋体" w:cs="宋体"/>
                <w:color w:val="auto"/>
                <w:sz w:val="22"/>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14:paraId="772FE2B3">
            <w:pPr>
              <w:spacing w:line="380" w:lineRule="exact"/>
              <w:jc w:val="center"/>
              <w:rPr>
                <w:rFonts w:ascii="宋体" w:hAnsi="宋体" w:cs="宋体"/>
                <w:color w:val="auto"/>
                <w:sz w:val="22"/>
                <w:highlight w:val="none"/>
              </w:rPr>
            </w:pPr>
          </w:p>
        </w:tc>
      </w:tr>
      <w:tr w14:paraId="7412D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942" w:type="dxa"/>
            <w:vMerge w:val="restart"/>
            <w:tcBorders>
              <w:top w:val="single" w:color="auto" w:sz="4" w:space="0"/>
              <w:left w:val="single" w:color="auto" w:sz="4" w:space="0"/>
              <w:bottom w:val="single" w:color="auto" w:sz="4" w:space="0"/>
              <w:right w:val="single" w:color="auto" w:sz="4" w:space="0"/>
            </w:tcBorders>
            <w:vAlign w:val="center"/>
          </w:tcPr>
          <w:p w14:paraId="718DD1BF">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技</w:t>
            </w:r>
          </w:p>
          <w:p w14:paraId="5E85CC76">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术</w:t>
            </w:r>
          </w:p>
          <w:p w14:paraId="5F6EAA20">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规</w:t>
            </w:r>
          </w:p>
          <w:p w14:paraId="55EB06F8">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格</w:t>
            </w:r>
          </w:p>
        </w:tc>
        <w:tc>
          <w:tcPr>
            <w:tcW w:w="1362" w:type="dxa"/>
            <w:tcBorders>
              <w:top w:val="single" w:color="auto" w:sz="4" w:space="0"/>
              <w:left w:val="single" w:color="auto" w:sz="4" w:space="0"/>
              <w:bottom w:val="single" w:color="auto" w:sz="4" w:space="0"/>
              <w:right w:val="single" w:color="auto" w:sz="4" w:space="0"/>
            </w:tcBorders>
            <w:vAlign w:val="center"/>
          </w:tcPr>
          <w:p w14:paraId="50810062">
            <w:pPr>
              <w:spacing w:line="380" w:lineRule="exact"/>
              <w:jc w:val="center"/>
              <w:rPr>
                <w:rFonts w:ascii="宋体" w:hAnsi="宋体" w:cs="宋体"/>
                <w:color w:val="auto"/>
                <w:sz w:val="22"/>
                <w:highlight w:val="none"/>
              </w:rPr>
            </w:pPr>
          </w:p>
          <w:p w14:paraId="78F49ECA">
            <w:pPr>
              <w:spacing w:line="380" w:lineRule="exact"/>
              <w:jc w:val="center"/>
              <w:rPr>
                <w:rFonts w:ascii="宋体" w:hAnsi="宋体" w:cs="宋体"/>
                <w:color w:val="auto"/>
                <w:sz w:val="22"/>
                <w:highlight w:val="none"/>
              </w:rPr>
            </w:pPr>
          </w:p>
        </w:tc>
        <w:tc>
          <w:tcPr>
            <w:tcW w:w="2095" w:type="dxa"/>
            <w:tcBorders>
              <w:top w:val="single" w:color="auto" w:sz="4" w:space="0"/>
              <w:left w:val="single" w:color="auto" w:sz="4" w:space="0"/>
              <w:bottom w:val="single" w:color="auto" w:sz="4" w:space="0"/>
              <w:right w:val="single" w:color="auto" w:sz="4" w:space="0"/>
            </w:tcBorders>
            <w:vAlign w:val="center"/>
          </w:tcPr>
          <w:p w14:paraId="79FBCB05">
            <w:pPr>
              <w:spacing w:line="380" w:lineRule="exact"/>
              <w:jc w:val="center"/>
              <w:rPr>
                <w:rFonts w:ascii="宋体" w:hAnsi="宋体" w:cs="宋体"/>
                <w:color w:val="auto"/>
                <w:sz w:val="22"/>
                <w:highlight w:val="none"/>
              </w:rPr>
            </w:pPr>
          </w:p>
        </w:tc>
        <w:tc>
          <w:tcPr>
            <w:tcW w:w="1991" w:type="dxa"/>
            <w:tcBorders>
              <w:top w:val="single" w:color="auto" w:sz="4" w:space="0"/>
              <w:left w:val="single" w:color="auto" w:sz="4" w:space="0"/>
              <w:bottom w:val="single" w:color="auto" w:sz="4" w:space="0"/>
              <w:right w:val="single" w:color="auto" w:sz="4" w:space="0"/>
            </w:tcBorders>
            <w:vAlign w:val="center"/>
          </w:tcPr>
          <w:p w14:paraId="529DCA5F">
            <w:pPr>
              <w:spacing w:line="380" w:lineRule="exact"/>
              <w:jc w:val="center"/>
              <w:rPr>
                <w:rFonts w:ascii="宋体" w:hAnsi="宋体" w:cs="宋体"/>
                <w:color w:val="auto"/>
                <w:sz w:val="22"/>
                <w:highlight w:val="none"/>
              </w:rPr>
            </w:pPr>
          </w:p>
        </w:tc>
        <w:tc>
          <w:tcPr>
            <w:tcW w:w="1866" w:type="dxa"/>
            <w:tcBorders>
              <w:top w:val="single" w:color="auto" w:sz="4" w:space="0"/>
              <w:left w:val="single" w:color="auto" w:sz="4" w:space="0"/>
              <w:bottom w:val="single" w:color="auto" w:sz="4" w:space="0"/>
              <w:right w:val="single" w:color="auto" w:sz="4" w:space="0"/>
            </w:tcBorders>
            <w:vAlign w:val="center"/>
          </w:tcPr>
          <w:p w14:paraId="6C625263">
            <w:pPr>
              <w:spacing w:line="380" w:lineRule="exact"/>
              <w:jc w:val="center"/>
              <w:rPr>
                <w:rFonts w:ascii="宋体" w:hAnsi="宋体" w:cs="宋体"/>
                <w:color w:val="auto"/>
                <w:sz w:val="22"/>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14:paraId="40C77808">
            <w:pPr>
              <w:spacing w:line="380" w:lineRule="exact"/>
              <w:jc w:val="center"/>
              <w:rPr>
                <w:rFonts w:ascii="宋体" w:hAnsi="宋体" w:cs="宋体"/>
                <w:color w:val="auto"/>
                <w:sz w:val="22"/>
                <w:highlight w:val="none"/>
              </w:rPr>
            </w:pPr>
          </w:p>
        </w:tc>
      </w:tr>
      <w:tr w14:paraId="04BD2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2" w:type="dxa"/>
            <w:vMerge w:val="continue"/>
            <w:tcBorders>
              <w:top w:val="single" w:color="auto" w:sz="4" w:space="0"/>
              <w:left w:val="single" w:color="auto" w:sz="4" w:space="0"/>
              <w:bottom w:val="single" w:color="auto" w:sz="4" w:space="0"/>
              <w:right w:val="single" w:color="auto" w:sz="4" w:space="0"/>
            </w:tcBorders>
            <w:vAlign w:val="center"/>
          </w:tcPr>
          <w:p w14:paraId="3D68C036">
            <w:pPr>
              <w:widowControl/>
              <w:jc w:val="left"/>
              <w:rPr>
                <w:rFonts w:ascii="宋体" w:hAnsi="宋体" w:cs="宋体"/>
                <w:b/>
                <w:color w:val="auto"/>
                <w:sz w:val="22"/>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14:paraId="10C7DB95">
            <w:pPr>
              <w:spacing w:line="380" w:lineRule="exact"/>
              <w:jc w:val="center"/>
              <w:rPr>
                <w:rFonts w:ascii="宋体" w:hAnsi="宋体" w:cs="宋体"/>
                <w:color w:val="auto"/>
                <w:sz w:val="22"/>
                <w:highlight w:val="none"/>
              </w:rPr>
            </w:pPr>
          </w:p>
        </w:tc>
        <w:tc>
          <w:tcPr>
            <w:tcW w:w="2095" w:type="dxa"/>
            <w:tcBorders>
              <w:top w:val="single" w:color="auto" w:sz="4" w:space="0"/>
              <w:left w:val="single" w:color="auto" w:sz="4" w:space="0"/>
              <w:bottom w:val="single" w:color="auto" w:sz="4" w:space="0"/>
              <w:right w:val="single" w:color="auto" w:sz="4" w:space="0"/>
            </w:tcBorders>
            <w:vAlign w:val="center"/>
          </w:tcPr>
          <w:p w14:paraId="07779938">
            <w:pPr>
              <w:spacing w:line="380" w:lineRule="exact"/>
              <w:jc w:val="center"/>
              <w:rPr>
                <w:rFonts w:ascii="宋体" w:hAnsi="宋体" w:cs="宋体"/>
                <w:color w:val="auto"/>
                <w:sz w:val="22"/>
                <w:highlight w:val="none"/>
              </w:rPr>
            </w:pPr>
          </w:p>
        </w:tc>
        <w:tc>
          <w:tcPr>
            <w:tcW w:w="1991" w:type="dxa"/>
            <w:tcBorders>
              <w:top w:val="single" w:color="auto" w:sz="4" w:space="0"/>
              <w:left w:val="single" w:color="auto" w:sz="4" w:space="0"/>
              <w:bottom w:val="single" w:color="auto" w:sz="4" w:space="0"/>
              <w:right w:val="single" w:color="auto" w:sz="4" w:space="0"/>
            </w:tcBorders>
            <w:vAlign w:val="center"/>
          </w:tcPr>
          <w:p w14:paraId="5A88EF76">
            <w:pPr>
              <w:spacing w:line="380" w:lineRule="exact"/>
              <w:jc w:val="center"/>
              <w:rPr>
                <w:rFonts w:ascii="宋体" w:hAnsi="宋体" w:cs="宋体"/>
                <w:color w:val="auto"/>
                <w:sz w:val="22"/>
                <w:highlight w:val="none"/>
              </w:rPr>
            </w:pPr>
          </w:p>
        </w:tc>
        <w:tc>
          <w:tcPr>
            <w:tcW w:w="1866" w:type="dxa"/>
            <w:tcBorders>
              <w:top w:val="single" w:color="auto" w:sz="4" w:space="0"/>
              <w:left w:val="single" w:color="auto" w:sz="4" w:space="0"/>
              <w:bottom w:val="single" w:color="auto" w:sz="4" w:space="0"/>
              <w:right w:val="single" w:color="auto" w:sz="4" w:space="0"/>
            </w:tcBorders>
            <w:vAlign w:val="center"/>
          </w:tcPr>
          <w:p w14:paraId="712855B3">
            <w:pPr>
              <w:spacing w:line="380" w:lineRule="exact"/>
              <w:jc w:val="center"/>
              <w:rPr>
                <w:rFonts w:ascii="宋体" w:hAnsi="宋体" w:cs="宋体"/>
                <w:color w:val="auto"/>
                <w:sz w:val="22"/>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14:paraId="37CC30B0">
            <w:pPr>
              <w:spacing w:line="380" w:lineRule="exact"/>
              <w:jc w:val="center"/>
              <w:rPr>
                <w:rFonts w:ascii="宋体" w:hAnsi="宋体" w:cs="宋体"/>
                <w:color w:val="auto"/>
                <w:sz w:val="22"/>
                <w:highlight w:val="none"/>
              </w:rPr>
            </w:pPr>
          </w:p>
        </w:tc>
      </w:tr>
      <w:tr w14:paraId="40C14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2" w:type="dxa"/>
            <w:vMerge w:val="continue"/>
            <w:tcBorders>
              <w:top w:val="single" w:color="auto" w:sz="4" w:space="0"/>
              <w:left w:val="single" w:color="auto" w:sz="4" w:space="0"/>
              <w:bottom w:val="single" w:color="auto" w:sz="4" w:space="0"/>
              <w:right w:val="single" w:color="auto" w:sz="4" w:space="0"/>
            </w:tcBorders>
            <w:vAlign w:val="center"/>
          </w:tcPr>
          <w:p w14:paraId="463868FA">
            <w:pPr>
              <w:widowControl/>
              <w:jc w:val="left"/>
              <w:rPr>
                <w:rFonts w:ascii="宋体" w:hAnsi="宋体" w:cs="宋体"/>
                <w:b/>
                <w:color w:val="auto"/>
                <w:sz w:val="22"/>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14:paraId="23EC2E45">
            <w:pPr>
              <w:spacing w:line="380" w:lineRule="exact"/>
              <w:jc w:val="center"/>
              <w:rPr>
                <w:rFonts w:ascii="宋体" w:hAnsi="宋体" w:cs="宋体"/>
                <w:color w:val="auto"/>
                <w:sz w:val="22"/>
                <w:highlight w:val="none"/>
              </w:rPr>
            </w:pPr>
          </w:p>
        </w:tc>
        <w:tc>
          <w:tcPr>
            <w:tcW w:w="2095" w:type="dxa"/>
            <w:tcBorders>
              <w:top w:val="single" w:color="auto" w:sz="4" w:space="0"/>
              <w:left w:val="single" w:color="auto" w:sz="4" w:space="0"/>
              <w:bottom w:val="single" w:color="auto" w:sz="4" w:space="0"/>
              <w:right w:val="single" w:color="auto" w:sz="4" w:space="0"/>
            </w:tcBorders>
            <w:vAlign w:val="center"/>
          </w:tcPr>
          <w:p w14:paraId="17A565F0">
            <w:pPr>
              <w:spacing w:line="380" w:lineRule="exact"/>
              <w:jc w:val="center"/>
              <w:rPr>
                <w:rFonts w:ascii="宋体" w:hAnsi="宋体" w:cs="宋体"/>
                <w:color w:val="auto"/>
                <w:sz w:val="22"/>
                <w:highlight w:val="none"/>
              </w:rPr>
            </w:pPr>
          </w:p>
        </w:tc>
        <w:tc>
          <w:tcPr>
            <w:tcW w:w="1991" w:type="dxa"/>
            <w:tcBorders>
              <w:top w:val="single" w:color="auto" w:sz="4" w:space="0"/>
              <w:left w:val="single" w:color="auto" w:sz="4" w:space="0"/>
              <w:bottom w:val="single" w:color="auto" w:sz="4" w:space="0"/>
              <w:right w:val="single" w:color="auto" w:sz="4" w:space="0"/>
            </w:tcBorders>
            <w:vAlign w:val="center"/>
          </w:tcPr>
          <w:p w14:paraId="77832459">
            <w:pPr>
              <w:spacing w:line="380" w:lineRule="exact"/>
              <w:jc w:val="center"/>
              <w:rPr>
                <w:rFonts w:ascii="宋体" w:hAnsi="宋体" w:cs="宋体"/>
                <w:color w:val="auto"/>
                <w:sz w:val="22"/>
                <w:highlight w:val="none"/>
              </w:rPr>
            </w:pPr>
          </w:p>
        </w:tc>
        <w:tc>
          <w:tcPr>
            <w:tcW w:w="1866" w:type="dxa"/>
            <w:tcBorders>
              <w:top w:val="single" w:color="auto" w:sz="4" w:space="0"/>
              <w:left w:val="single" w:color="auto" w:sz="4" w:space="0"/>
              <w:bottom w:val="single" w:color="auto" w:sz="4" w:space="0"/>
              <w:right w:val="single" w:color="auto" w:sz="4" w:space="0"/>
            </w:tcBorders>
            <w:vAlign w:val="center"/>
          </w:tcPr>
          <w:p w14:paraId="21DB50A5">
            <w:pPr>
              <w:spacing w:line="380" w:lineRule="exact"/>
              <w:jc w:val="center"/>
              <w:rPr>
                <w:rFonts w:ascii="宋体" w:hAnsi="宋体" w:cs="宋体"/>
                <w:color w:val="auto"/>
                <w:sz w:val="22"/>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14:paraId="7CAFC448">
            <w:pPr>
              <w:spacing w:line="380" w:lineRule="exact"/>
              <w:jc w:val="center"/>
              <w:rPr>
                <w:rFonts w:ascii="宋体" w:hAnsi="宋体" w:cs="宋体"/>
                <w:color w:val="auto"/>
                <w:sz w:val="22"/>
                <w:highlight w:val="none"/>
              </w:rPr>
            </w:pPr>
          </w:p>
        </w:tc>
      </w:tr>
      <w:tr w14:paraId="7873F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2" w:type="dxa"/>
            <w:vMerge w:val="continue"/>
            <w:tcBorders>
              <w:top w:val="single" w:color="auto" w:sz="4" w:space="0"/>
              <w:left w:val="single" w:color="auto" w:sz="4" w:space="0"/>
              <w:bottom w:val="single" w:color="auto" w:sz="4" w:space="0"/>
              <w:right w:val="single" w:color="auto" w:sz="4" w:space="0"/>
            </w:tcBorders>
            <w:vAlign w:val="center"/>
          </w:tcPr>
          <w:p w14:paraId="1A44EEDD">
            <w:pPr>
              <w:widowControl/>
              <w:jc w:val="left"/>
              <w:rPr>
                <w:rFonts w:ascii="宋体" w:hAnsi="宋体" w:cs="宋体"/>
                <w:b/>
                <w:color w:val="auto"/>
                <w:sz w:val="22"/>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14:paraId="23FA9929">
            <w:pPr>
              <w:spacing w:line="380" w:lineRule="exact"/>
              <w:jc w:val="center"/>
              <w:rPr>
                <w:rFonts w:ascii="宋体" w:hAnsi="宋体" w:cs="宋体"/>
                <w:color w:val="auto"/>
                <w:sz w:val="22"/>
                <w:highlight w:val="none"/>
              </w:rPr>
            </w:pPr>
          </w:p>
        </w:tc>
        <w:tc>
          <w:tcPr>
            <w:tcW w:w="2095" w:type="dxa"/>
            <w:tcBorders>
              <w:top w:val="single" w:color="auto" w:sz="4" w:space="0"/>
              <w:left w:val="single" w:color="auto" w:sz="4" w:space="0"/>
              <w:bottom w:val="single" w:color="auto" w:sz="4" w:space="0"/>
              <w:right w:val="single" w:color="auto" w:sz="4" w:space="0"/>
            </w:tcBorders>
            <w:vAlign w:val="center"/>
          </w:tcPr>
          <w:p w14:paraId="65BB5824">
            <w:pPr>
              <w:spacing w:line="380" w:lineRule="exact"/>
              <w:jc w:val="center"/>
              <w:rPr>
                <w:rFonts w:ascii="宋体" w:hAnsi="宋体" w:cs="宋体"/>
                <w:color w:val="auto"/>
                <w:sz w:val="22"/>
                <w:highlight w:val="none"/>
              </w:rPr>
            </w:pPr>
          </w:p>
        </w:tc>
        <w:tc>
          <w:tcPr>
            <w:tcW w:w="1991" w:type="dxa"/>
            <w:tcBorders>
              <w:top w:val="single" w:color="auto" w:sz="4" w:space="0"/>
              <w:left w:val="single" w:color="auto" w:sz="4" w:space="0"/>
              <w:bottom w:val="single" w:color="auto" w:sz="4" w:space="0"/>
              <w:right w:val="single" w:color="auto" w:sz="4" w:space="0"/>
            </w:tcBorders>
            <w:vAlign w:val="center"/>
          </w:tcPr>
          <w:p w14:paraId="66ECB72A">
            <w:pPr>
              <w:spacing w:line="380" w:lineRule="exact"/>
              <w:jc w:val="center"/>
              <w:rPr>
                <w:rFonts w:ascii="宋体" w:hAnsi="宋体" w:cs="宋体"/>
                <w:color w:val="auto"/>
                <w:sz w:val="22"/>
                <w:highlight w:val="none"/>
              </w:rPr>
            </w:pPr>
          </w:p>
        </w:tc>
        <w:tc>
          <w:tcPr>
            <w:tcW w:w="1866" w:type="dxa"/>
            <w:tcBorders>
              <w:top w:val="single" w:color="auto" w:sz="4" w:space="0"/>
              <w:left w:val="single" w:color="auto" w:sz="4" w:space="0"/>
              <w:bottom w:val="single" w:color="auto" w:sz="4" w:space="0"/>
              <w:right w:val="single" w:color="auto" w:sz="4" w:space="0"/>
            </w:tcBorders>
            <w:vAlign w:val="center"/>
          </w:tcPr>
          <w:p w14:paraId="315E0F1B">
            <w:pPr>
              <w:spacing w:line="380" w:lineRule="exact"/>
              <w:jc w:val="center"/>
              <w:rPr>
                <w:rFonts w:ascii="宋体" w:hAnsi="宋体" w:cs="宋体"/>
                <w:color w:val="auto"/>
                <w:sz w:val="22"/>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14:paraId="6BD29937">
            <w:pPr>
              <w:spacing w:line="380" w:lineRule="exact"/>
              <w:jc w:val="center"/>
              <w:rPr>
                <w:rFonts w:ascii="宋体" w:hAnsi="宋体" w:cs="宋体"/>
                <w:color w:val="auto"/>
                <w:sz w:val="22"/>
                <w:highlight w:val="none"/>
              </w:rPr>
            </w:pPr>
          </w:p>
        </w:tc>
      </w:tr>
      <w:tr w14:paraId="7EED5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2" w:type="dxa"/>
            <w:vMerge w:val="continue"/>
            <w:tcBorders>
              <w:top w:val="single" w:color="auto" w:sz="4" w:space="0"/>
              <w:left w:val="single" w:color="auto" w:sz="4" w:space="0"/>
              <w:bottom w:val="single" w:color="auto" w:sz="4" w:space="0"/>
              <w:right w:val="single" w:color="auto" w:sz="4" w:space="0"/>
            </w:tcBorders>
            <w:vAlign w:val="center"/>
          </w:tcPr>
          <w:p w14:paraId="461760A9">
            <w:pPr>
              <w:widowControl/>
              <w:jc w:val="left"/>
              <w:rPr>
                <w:rFonts w:ascii="宋体" w:hAnsi="宋体" w:cs="宋体"/>
                <w:b/>
                <w:color w:val="auto"/>
                <w:sz w:val="22"/>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14:paraId="04D0AB40">
            <w:pPr>
              <w:spacing w:line="380" w:lineRule="exact"/>
              <w:jc w:val="center"/>
              <w:rPr>
                <w:rFonts w:ascii="宋体" w:hAnsi="宋体" w:cs="宋体"/>
                <w:color w:val="auto"/>
                <w:sz w:val="22"/>
                <w:highlight w:val="none"/>
              </w:rPr>
            </w:pPr>
          </w:p>
        </w:tc>
        <w:tc>
          <w:tcPr>
            <w:tcW w:w="2095" w:type="dxa"/>
            <w:tcBorders>
              <w:top w:val="single" w:color="auto" w:sz="4" w:space="0"/>
              <w:left w:val="single" w:color="auto" w:sz="4" w:space="0"/>
              <w:bottom w:val="single" w:color="auto" w:sz="4" w:space="0"/>
              <w:right w:val="single" w:color="auto" w:sz="4" w:space="0"/>
            </w:tcBorders>
            <w:vAlign w:val="center"/>
          </w:tcPr>
          <w:p w14:paraId="52E88546">
            <w:pPr>
              <w:spacing w:line="380" w:lineRule="exact"/>
              <w:jc w:val="center"/>
              <w:rPr>
                <w:rFonts w:ascii="宋体" w:hAnsi="宋体" w:cs="宋体"/>
                <w:color w:val="auto"/>
                <w:sz w:val="22"/>
                <w:highlight w:val="none"/>
              </w:rPr>
            </w:pPr>
          </w:p>
        </w:tc>
        <w:tc>
          <w:tcPr>
            <w:tcW w:w="1991" w:type="dxa"/>
            <w:tcBorders>
              <w:top w:val="single" w:color="auto" w:sz="4" w:space="0"/>
              <w:left w:val="single" w:color="auto" w:sz="4" w:space="0"/>
              <w:bottom w:val="single" w:color="auto" w:sz="4" w:space="0"/>
              <w:right w:val="single" w:color="auto" w:sz="4" w:space="0"/>
            </w:tcBorders>
            <w:vAlign w:val="center"/>
          </w:tcPr>
          <w:p w14:paraId="3A3486B1">
            <w:pPr>
              <w:spacing w:line="380" w:lineRule="exact"/>
              <w:jc w:val="center"/>
              <w:rPr>
                <w:rFonts w:ascii="宋体" w:hAnsi="宋体" w:cs="宋体"/>
                <w:color w:val="auto"/>
                <w:sz w:val="22"/>
                <w:highlight w:val="none"/>
              </w:rPr>
            </w:pPr>
          </w:p>
        </w:tc>
        <w:tc>
          <w:tcPr>
            <w:tcW w:w="1866" w:type="dxa"/>
            <w:tcBorders>
              <w:top w:val="single" w:color="auto" w:sz="4" w:space="0"/>
              <w:left w:val="single" w:color="auto" w:sz="4" w:space="0"/>
              <w:bottom w:val="single" w:color="auto" w:sz="4" w:space="0"/>
              <w:right w:val="single" w:color="auto" w:sz="4" w:space="0"/>
            </w:tcBorders>
            <w:vAlign w:val="center"/>
          </w:tcPr>
          <w:p w14:paraId="67267183">
            <w:pPr>
              <w:spacing w:line="380" w:lineRule="exact"/>
              <w:jc w:val="center"/>
              <w:rPr>
                <w:rFonts w:ascii="宋体" w:hAnsi="宋体" w:cs="宋体"/>
                <w:color w:val="auto"/>
                <w:sz w:val="22"/>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14:paraId="28B04AC8">
            <w:pPr>
              <w:spacing w:line="380" w:lineRule="exact"/>
              <w:jc w:val="center"/>
              <w:rPr>
                <w:rFonts w:ascii="宋体" w:hAnsi="宋体" w:cs="宋体"/>
                <w:color w:val="auto"/>
                <w:sz w:val="22"/>
                <w:highlight w:val="none"/>
              </w:rPr>
            </w:pPr>
          </w:p>
        </w:tc>
      </w:tr>
    </w:tbl>
    <w:p w14:paraId="15001F9D">
      <w:pPr>
        <w:pStyle w:val="24"/>
        <w:spacing w:line="440" w:lineRule="exact"/>
        <w:ind w:left="537" w:hanging="537" w:hangingChars="243"/>
        <w:rPr>
          <w:rFonts w:hAnsi="宋体" w:cs="宋体"/>
          <w:b/>
          <w:color w:val="auto"/>
          <w:sz w:val="22"/>
          <w:szCs w:val="22"/>
          <w:highlight w:val="none"/>
        </w:rPr>
      </w:pPr>
      <w:r>
        <w:rPr>
          <w:rFonts w:hint="eastAsia" w:hAnsi="宋体" w:cs="宋体"/>
          <w:b/>
          <w:color w:val="auto"/>
          <w:sz w:val="22"/>
          <w:szCs w:val="22"/>
          <w:highlight w:val="none"/>
        </w:rPr>
        <w:t>注： 如有偏离，必须在偏离表中进行详细对比说明并注明正偏离和负偏离，如不说明偏离情况，视为完全响应招标文件要求无偏离。</w:t>
      </w:r>
    </w:p>
    <w:p w14:paraId="2E82B43F">
      <w:pPr>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投标人全称（电子签名/公章）：</w:t>
      </w:r>
    </w:p>
    <w:p w14:paraId="114BC164">
      <w:pPr>
        <w:spacing w:line="440" w:lineRule="exact"/>
        <w:ind w:firstLine="4180" w:firstLineChars="1900"/>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14:paraId="3825057C">
      <w:pPr>
        <w:pStyle w:val="17"/>
        <w:rPr>
          <w:color w:val="auto"/>
          <w:highlight w:val="none"/>
        </w:rPr>
      </w:pPr>
    </w:p>
    <w:p w14:paraId="246ED141">
      <w:pPr>
        <w:pStyle w:val="3"/>
        <w:spacing w:line="240" w:lineRule="auto"/>
        <w:rPr>
          <w:rFonts w:ascii="宋体" w:hAnsi="宋体" w:eastAsia="宋体" w:cs="宋体"/>
          <w:color w:val="auto"/>
          <w:sz w:val="24"/>
          <w:szCs w:val="24"/>
          <w:highlight w:val="none"/>
        </w:rPr>
      </w:pPr>
      <w:bookmarkStart w:id="181" w:name="_Toc460707936"/>
      <w:bookmarkStart w:id="182" w:name="_Toc26750"/>
      <w:bookmarkStart w:id="183" w:name="_Toc405195141"/>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 xml:space="preserve"> 同类项目业绩一览表</w:t>
      </w:r>
      <w:bookmarkEnd w:id="181"/>
      <w:bookmarkEnd w:id="182"/>
    </w:p>
    <w:p w14:paraId="388CEF72">
      <w:pPr>
        <w:spacing w:line="440" w:lineRule="exact"/>
        <w:rPr>
          <w:rFonts w:ascii="宋体" w:hAnsi="宋体"/>
          <w:b/>
          <w:bCs/>
          <w:color w:val="auto"/>
          <w:sz w:val="24"/>
          <w:highlight w:val="none"/>
        </w:rPr>
      </w:pPr>
    </w:p>
    <w:p w14:paraId="671F77AB">
      <w:pPr>
        <w:spacing w:line="44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同类项目业绩一览表</w:t>
      </w:r>
    </w:p>
    <w:p w14:paraId="44BC378E">
      <w:pPr>
        <w:spacing w:line="380" w:lineRule="exact"/>
        <w:ind w:left="-357" w:leftChars="-170" w:firstLine="216" w:firstLineChars="98"/>
        <w:rPr>
          <w:rFonts w:ascii="宋体" w:hAnsi="宋体" w:cs="宋体"/>
          <w:b/>
          <w:bCs/>
          <w:color w:val="auto"/>
          <w:sz w:val="22"/>
          <w:szCs w:val="22"/>
          <w:highlight w:val="none"/>
        </w:rPr>
      </w:pPr>
    </w:p>
    <w:p w14:paraId="1827031E">
      <w:pPr>
        <w:spacing w:line="380" w:lineRule="exact"/>
        <w:ind w:left="-357" w:leftChars="-170" w:firstLine="216" w:firstLineChars="98"/>
        <w:rPr>
          <w:rFonts w:ascii="宋体" w:hAnsi="宋体" w:cs="宋体"/>
          <w:b/>
          <w:bCs/>
          <w:color w:val="auto"/>
          <w:sz w:val="22"/>
          <w:szCs w:val="22"/>
          <w:highlight w:val="none"/>
        </w:rPr>
      </w:pPr>
      <w:r>
        <w:rPr>
          <w:rFonts w:hint="eastAsia" w:ascii="宋体" w:hAnsi="宋体" w:cs="宋体"/>
          <w:b/>
          <w:bCs/>
          <w:color w:val="auto"/>
          <w:sz w:val="22"/>
          <w:szCs w:val="22"/>
          <w:highlight w:val="none"/>
        </w:rPr>
        <w:t>项目名称：                                              项目编号：</w:t>
      </w:r>
    </w:p>
    <w:tbl>
      <w:tblPr>
        <w:tblStyle w:val="39"/>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197"/>
        <w:gridCol w:w="1640"/>
        <w:gridCol w:w="1263"/>
        <w:gridCol w:w="1348"/>
        <w:gridCol w:w="2624"/>
      </w:tblGrid>
      <w:tr w14:paraId="5323A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8" w:type="dxa"/>
            <w:shd w:val="clear" w:color="auto" w:fill="D9D9D9"/>
            <w:vAlign w:val="center"/>
          </w:tcPr>
          <w:p w14:paraId="2A581D2B">
            <w:pPr>
              <w:spacing w:line="38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序号</w:t>
            </w:r>
          </w:p>
        </w:tc>
        <w:tc>
          <w:tcPr>
            <w:tcW w:w="2197" w:type="dxa"/>
            <w:shd w:val="clear" w:color="auto" w:fill="D9D9D9"/>
            <w:vAlign w:val="center"/>
          </w:tcPr>
          <w:p w14:paraId="596EA123">
            <w:pPr>
              <w:spacing w:line="38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用户名称</w:t>
            </w:r>
          </w:p>
        </w:tc>
        <w:tc>
          <w:tcPr>
            <w:tcW w:w="1640" w:type="dxa"/>
            <w:shd w:val="clear" w:color="auto" w:fill="D9D9D9"/>
            <w:vAlign w:val="center"/>
          </w:tcPr>
          <w:p w14:paraId="06073C2A">
            <w:pPr>
              <w:spacing w:line="38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项目名称</w:t>
            </w:r>
          </w:p>
        </w:tc>
        <w:tc>
          <w:tcPr>
            <w:tcW w:w="1263" w:type="dxa"/>
            <w:shd w:val="clear" w:color="auto" w:fill="D9D9D9"/>
            <w:vAlign w:val="center"/>
          </w:tcPr>
          <w:p w14:paraId="389A2314">
            <w:pPr>
              <w:spacing w:line="38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合同金额</w:t>
            </w:r>
          </w:p>
        </w:tc>
        <w:tc>
          <w:tcPr>
            <w:tcW w:w="1348" w:type="dxa"/>
            <w:shd w:val="clear" w:color="auto" w:fill="D9D9D9"/>
            <w:vAlign w:val="center"/>
          </w:tcPr>
          <w:p w14:paraId="0243DD56">
            <w:pPr>
              <w:spacing w:line="38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签订时间</w:t>
            </w:r>
          </w:p>
        </w:tc>
        <w:tc>
          <w:tcPr>
            <w:tcW w:w="2624" w:type="dxa"/>
            <w:shd w:val="clear" w:color="auto" w:fill="D9D9D9"/>
            <w:vAlign w:val="center"/>
          </w:tcPr>
          <w:p w14:paraId="74FD12F0">
            <w:pPr>
              <w:spacing w:line="38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用户联系人/联系方式</w:t>
            </w:r>
          </w:p>
        </w:tc>
      </w:tr>
      <w:tr w14:paraId="2E37B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8" w:type="dxa"/>
            <w:vAlign w:val="center"/>
          </w:tcPr>
          <w:p w14:paraId="3165CD61">
            <w:pPr>
              <w:spacing w:line="380" w:lineRule="exact"/>
              <w:jc w:val="center"/>
              <w:rPr>
                <w:rFonts w:ascii="宋体" w:hAnsi="宋体" w:cs="宋体"/>
                <w:b/>
                <w:bCs/>
                <w:color w:val="auto"/>
                <w:sz w:val="22"/>
                <w:szCs w:val="22"/>
                <w:highlight w:val="none"/>
              </w:rPr>
            </w:pPr>
          </w:p>
        </w:tc>
        <w:tc>
          <w:tcPr>
            <w:tcW w:w="2197" w:type="dxa"/>
            <w:vAlign w:val="center"/>
          </w:tcPr>
          <w:p w14:paraId="4D88BDFF">
            <w:pPr>
              <w:spacing w:line="380" w:lineRule="exact"/>
              <w:jc w:val="center"/>
              <w:rPr>
                <w:rFonts w:ascii="宋体" w:hAnsi="宋体" w:cs="宋体"/>
                <w:b/>
                <w:bCs/>
                <w:color w:val="auto"/>
                <w:sz w:val="22"/>
                <w:szCs w:val="22"/>
                <w:highlight w:val="none"/>
              </w:rPr>
            </w:pPr>
          </w:p>
        </w:tc>
        <w:tc>
          <w:tcPr>
            <w:tcW w:w="1640" w:type="dxa"/>
            <w:vAlign w:val="center"/>
          </w:tcPr>
          <w:p w14:paraId="4D3972C3">
            <w:pPr>
              <w:spacing w:line="380" w:lineRule="exact"/>
              <w:jc w:val="center"/>
              <w:rPr>
                <w:rFonts w:ascii="宋体" w:hAnsi="宋体" w:cs="宋体"/>
                <w:b/>
                <w:bCs/>
                <w:color w:val="auto"/>
                <w:sz w:val="22"/>
                <w:szCs w:val="22"/>
                <w:highlight w:val="none"/>
              </w:rPr>
            </w:pPr>
          </w:p>
        </w:tc>
        <w:tc>
          <w:tcPr>
            <w:tcW w:w="1263" w:type="dxa"/>
            <w:vAlign w:val="center"/>
          </w:tcPr>
          <w:p w14:paraId="64AF21DD">
            <w:pPr>
              <w:spacing w:line="380" w:lineRule="exact"/>
              <w:jc w:val="center"/>
              <w:rPr>
                <w:rFonts w:ascii="宋体" w:hAnsi="宋体" w:cs="宋体"/>
                <w:b/>
                <w:bCs/>
                <w:color w:val="auto"/>
                <w:sz w:val="22"/>
                <w:szCs w:val="22"/>
                <w:highlight w:val="none"/>
              </w:rPr>
            </w:pPr>
          </w:p>
        </w:tc>
        <w:tc>
          <w:tcPr>
            <w:tcW w:w="1348" w:type="dxa"/>
            <w:vAlign w:val="center"/>
          </w:tcPr>
          <w:p w14:paraId="1771E3ED">
            <w:pPr>
              <w:spacing w:line="380" w:lineRule="exact"/>
              <w:jc w:val="center"/>
              <w:rPr>
                <w:rFonts w:ascii="宋体" w:hAnsi="宋体" w:cs="宋体"/>
                <w:b/>
                <w:bCs/>
                <w:color w:val="auto"/>
                <w:sz w:val="22"/>
                <w:szCs w:val="22"/>
                <w:highlight w:val="none"/>
              </w:rPr>
            </w:pPr>
          </w:p>
        </w:tc>
        <w:tc>
          <w:tcPr>
            <w:tcW w:w="2624" w:type="dxa"/>
            <w:vAlign w:val="center"/>
          </w:tcPr>
          <w:p w14:paraId="5EC64A8A">
            <w:pPr>
              <w:spacing w:line="380" w:lineRule="exact"/>
              <w:jc w:val="center"/>
              <w:rPr>
                <w:rFonts w:ascii="宋体" w:hAnsi="宋体" w:cs="宋体"/>
                <w:b/>
                <w:bCs/>
                <w:color w:val="auto"/>
                <w:sz w:val="22"/>
                <w:szCs w:val="22"/>
                <w:highlight w:val="none"/>
              </w:rPr>
            </w:pPr>
          </w:p>
        </w:tc>
      </w:tr>
      <w:tr w14:paraId="7D13E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8" w:type="dxa"/>
            <w:vAlign w:val="center"/>
          </w:tcPr>
          <w:p w14:paraId="1A6EE17B">
            <w:pPr>
              <w:spacing w:line="380" w:lineRule="exact"/>
              <w:jc w:val="center"/>
              <w:rPr>
                <w:rFonts w:ascii="宋体" w:hAnsi="宋体" w:cs="宋体"/>
                <w:b/>
                <w:bCs/>
                <w:color w:val="auto"/>
                <w:sz w:val="22"/>
                <w:szCs w:val="22"/>
                <w:highlight w:val="none"/>
              </w:rPr>
            </w:pPr>
          </w:p>
        </w:tc>
        <w:tc>
          <w:tcPr>
            <w:tcW w:w="2197" w:type="dxa"/>
            <w:vAlign w:val="center"/>
          </w:tcPr>
          <w:p w14:paraId="326E773F">
            <w:pPr>
              <w:spacing w:line="380" w:lineRule="exact"/>
              <w:jc w:val="center"/>
              <w:rPr>
                <w:rFonts w:ascii="宋体" w:hAnsi="宋体" w:cs="宋体"/>
                <w:b/>
                <w:bCs/>
                <w:color w:val="auto"/>
                <w:sz w:val="22"/>
                <w:szCs w:val="22"/>
                <w:highlight w:val="none"/>
              </w:rPr>
            </w:pPr>
          </w:p>
        </w:tc>
        <w:tc>
          <w:tcPr>
            <w:tcW w:w="1640" w:type="dxa"/>
            <w:vAlign w:val="center"/>
          </w:tcPr>
          <w:p w14:paraId="3C93FE2B">
            <w:pPr>
              <w:spacing w:line="380" w:lineRule="exact"/>
              <w:jc w:val="center"/>
              <w:rPr>
                <w:rFonts w:ascii="宋体" w:hAnsi="宋体" w:cs="宋体"/>
                <w:b/>
                <w:bCs/>
                <w:color w:val="auto"/>
                <w:sz w:val="22"/>
                <w:szCs w:val="22"/>
                <w:highlight w:val="none"/>
              </w:rPr>
            </w:pPr>
          </w:p>
        </w:tc>
        <w:tc>
          <w:tcPr>
            <w:tcW w:w="1263" w:type="dxa"/>
            <w:vAlign w:val="center"/>
          </w:tcPr>
          <w:p w14:paraId="4C39CF9C">
            <w:pPr>
              <w:spacing w:line="380" w:lineRule="exact"/>
              <w:jc w:val="center"/>
              <w:rPr>
                <w:rFonts w:ascii="宋体" w:hAnsi="宋体" w:cs="宋体"/>
                <w:b/>
                <w:bCs/>
                <w:color w:val="auto"/>
                <w:sz w:val="22"/>
                <w:szCs w:val="22"/>
                <w:highlight w:val="none"/>
              </w:rPr>
            </w:pPr>
          </w:p>
        </w:tc>
        <w:tc>
          <w:tcPr>
            <w:tcW w:w="1348" w:type="dxa"/>
            <w:vAlign w:val="center"/>
          </w:tcPr>
          <w:p w14:paraId="1C228754">
            <w:pPr>
              <w:spacing w:line="380" w:lineRule="exact"/>
              <w:jc w:val="center"/>
              <w:rPr>
                <w:rFonts w:ascii="宋体" w:hAnsi="宋体" w:cs="宋体"/>
                <w:b/>
                <w:bCs/>
                <w:color w:val="auto"/>
                <w:sz w:val="22"/>
                <w:szCs w:val="22"/>
                <w:highlight w:val="none"/>
              </w:rPr>
            </w:pPr>
          </w:p>
        </w:tc>
        <w:tc>
          <w:tcPr>
            <w:tcW w:w="2624" w:type="dxa"/>
            <w:vAlign w:val="center"/>
          </w:tcPr>
          <w:p w14:paraId="5284FA60">
            <w:pPr>
              <w:spacing w:line="380" w:lineRule="exact"/>
              <w:jc w:val="center"/>
              <w:rPr>
                <w:rFonts w:ascii="宋体" w:hAnsi="宋体" w:cs="宋体"/>
                <w:b/>
                <w:bCs/>
                <w:color w:val="auto"/>
                <w:sz w:val="22"/>
                <w:szCs w:val="22"/>
                <w:highlight w:val="none"/>
              </w:rPr>
            </w:pPr>
          </w:p>
        </w:tc>
      </w:tr>
      <w:tr w14:paraId="2BBF2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8" w:type="dxa"/>
            <w:vAlign w:val="center"/>
          </w:tcPr>
          <w:p w14:paraId="750B94B4">
            <w:pPr>
              <w:spacing w:line="380" w:lineRule="exact"/>
              <w:jc w:val="center"/>
              <w:rPr>
                <w:rFonts w:ascii="宋体" w:hAnsi="宋体" w:cs="宋体"/>
                <w:b/>
                <w:bCs/>
                <w:color w:val="auto"/>
                <w:sz w:val="22"/>
                <w:szCs w:val="22"/>
                <w:highlight w:val="none"/>
              </w:rPr>
            </w:pPr>
          </w:p>
        </w:tc>
        <w:tc>
          <w:tcPr>
            <w:tcW w:w="2197" w:type="dxa"/>
            <w:vAlign w:val="center"/>
          </w:tcPr>
          <w:p w14:paraId="0B652FD1">
            <w:pPr>
              <w:spacing w:line="380" w:lineRule="exact"/>
              <w:jc w:val="center"/>
              <w:rPr>
                <w:rFonts w:ascii="宋体" w:hAnsi="宋体" w:cs="宋体"/>
                <w:b/>
                <w:bCs/>
                <w:color w:val="auto"/>
                <w:sz w:val="22"/>
                <w:szCs w:val="22"/>
                <w:highlight w:val="none"/>
              </w:rPr>
            </w:pPr>
          </w:p>
        </w:tc>
        <w:tc>
          <w:tcPr>
            <w:tcW w:w="1640" w:type="dxa"/>
            <w:vAlign w:val="center"/>
          </w:tcPr>
          <w:p w14:paraId="6D4BA041">
            <w:pPr>
              <w:spacing w:line="380" w:lineRule="exact"/>
              <w:jc w:val="center"/>
              <w:rPr>
                <w:rFonts w:ascii="宋体" w:hAnsi="宋体" w:cs="宋体"/>
                <w:b/>
                <w:bCs/>
                <w:color w:val="auto"/>
                <w:sz w:val="22"/>
                <w:szCs w:val="22"/>
                <w:highlight w:val="none"/>
              </w:rPr>
            </w:pPr>
          </w:p>
        </w:tc>
        <w:tc>
          <w:tcPr>
            <w:tcW w:w="1263" w:type="dxa"/>
            <w:vAlign w:val="center"/>
          </w:tcPr>
          <w:p w14:paraId="2C87E9A3">
            <w:pPr>
              <w:spacing w:line="380" w:lineRule="exact"/>
              <w:jc w:val="center"/>
              <w:rPr>
                <w:rFonts w:ascii="宋体" w:hAnsi="宋体" w:cs="宋体"/>
                <w:b/>
                <w:bCs/>
                <w:color w:val="auto"/>
                <w:sz w:val="22"/>
                <w:szCs w:val="22"/>
                <w:highlight w:val="none"/>
              </w:rPr>
            </w:pPr>
          </w:p>
        </w:tc>
        <w:tc>
          <w:tcPr>
            <w:tcW w:w="1348" w:type="dxa"/>
            <w:vAlign w:val="center"/>
          </w:tcPr>
          <w:p w14:paraId="7F3DA082">
            <w:pPr>
              <w:spacing w:line="380" w:lineRule="exact"/>
              <w:jc w:val="center"/>
              <w:rPr>
                <w:rFonts w:ascii="宋体" w:hAnsi="宋体" w:cs="宋体"/>
                <w:b/>
                <w:bCs/>
                <w:color w:val="auto"/>
                <w:sz w:val="22"/>
                <w:szCs w:val="22"/>
                <w:highlight w:val="none"/>
              </w:rPr>
            </w:pPr>
          </w:p>
        </w:tc>
        <w:tc>
          <w:tcPr>
            <w:tcW w:w="2624" w:type="dxa"/>
            <w:vAlign w:val="center"/>
          </w:tcPr>
          <w:p w14:paraId="0D835C1A">
            <w:pPr>
              <w:spacing w:line="380" w:lineRule="exact"/>
              <w:jc w:val="center"/>
              <w:rPr>
                <w:rFonts w:ascii="宋体" w:hAnsi="宋体" w:cs="宋体"/>
                <w:b/>
                <w:bCs/>
                <w:color w:val="auto"/>
                <w:sz w:val="22"/>
                <w:szCs w:val="22"/>
                <w:highlight w:val="none"/>
              </w:rPr>
            </w:pPr>
          </w:p>
        </w:tc>
      </w:tr>
      <w:tr w14:paraId="7C8E9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8" w:type="dxa"/>
            <w:vAlign w:val="center"/>
          </w:tcPr>
          <w:p w14:paraId="60E34677">
            <w:pPr>
              <w:spacing w:line="380" w:lineRule="exact"/>
              <w:jc w:val="center"/>
              <w:rPr>
                <w:rFonts w:ascii="宋体" w:hAnsi="宋体" w:cs="宋体"/>
                <w:b/>
                <w:bCs/>
                <w:color w:val="auto"/>
                <w:sz w:val="22"/>
                <w:szCs w:val="22"/>
                <w:highlight w:val="none"/>
              </w:rPr>
            </w:pPr>
          </w:p>
        </w:tc>
        <w:tc>
          <w:tcPr>
            <w:tcW w:w="2197" w:type="dxa"/>
            <w:vAlign w:val="center"/>
          </w:tcPr>
          <w:p w14:paraId="22310092">
            <w:pPr>
              <w:spacing w:line="380" w:lineRule="exact"/>
              <w:jc w:val="center"/>
              <w:rPr>
                <w:rFonts w:ascii="宋体" w:hAnsi="宋体" w:cs="宋体"/>
                <w:b/>
                <w:bCs/>
                <w:color w:val="auto"/>
                <w:sz w:val="22"/>
                <w:szCs w:val="22"/>
                <w:highlight w:val="none"/>
              </w:rPr>
            </w:pPr>
          </w:p>
        </w:tc>
        <w:tc>
          <w:tcPr>
            <w:tcW w:w="1640" w:type="dxa"/>
            <w:vAlign w:val="center"/>
          </w:tcPr>
          <w:p w14:paraId="4BDA0E53">
            <w:pPr>
              <w:spacing w:line="380" w:lineRule="exact"/>
              <w:jc w:val="center"/>
              <w:rPr>
                <w:rFonts w:ascii="宋体" w:hAnsi="宋体" w:cs="宋体"/>
                <w:b/>
                <w:bCs/>
                <w:color w:val="auto"/>
                <w:sz w:val="22"/>
                <w:szCs w:val="22"/>
                <w:highlight w:val="none"/>
              </w:rPr>
            </w:pPr>
          </w:p>
        </w:tc>
        <w:tc>
          <w:tcPr>
            <w:tcW w:w="1263" w:type="dxa"/>
            <w:vAlign w:val="center"/>
          </w:tcPr>
          <w:p w14:paraId="1D74931B">
            <w:pPr>
              <w:spacing w:line="380" w:lineRule="exact"/>
              <w:jc w:val="center"/>
              <w:rPr>
                <w:rFonts w:ascii="宋体" w:hAnsi="宋体" w:cs="宋体"/>
                <w:b/>
                <w:bCs/>
                <w:color w:val="auto"/>
                <w:sz w:val="22"/>
                <w:szCs w:val="22"/>
                <w:highlight w:val="none"/>
              </w:rPr>
            </w:pPr>
          </w:p>
        </w:tc>
        <w:tc>
          <w:tcPr>
            <w:tcW w:w="1348" w:type="dxa"/>
            <w:vAlign w:val="center"/>
          </w:tcPr>
          <w:p w14:paraId="6BA3153F">
            <w:pPr>
              <w:spacing w:line="380" w:lineRule="exact"/>
              <w:jc w:val="center"/>
              <w:rPr>
                <w:rFonts w:ascii="宋体" w:hAnsi="宋体" w:cs="宋体"/>
                <w:b/>
                <w:bCs/>
                <w:color w:val="auto"/>
                <w:sz w:val="22"/>
                <w:szCs w:val="22"/>
                <w:highlight w:val="none"/>
              </w:rPr>
            </w:pPr>
          </w:p>
        </w:tc>
        <w:tc>
          <w:tcPr>
            <w:tcW w:w="2624" w:type="dxa"/>
            <w:vAlign w:val="center"/>
          </w:tcPr>
          <w:p w14:paraId="66C8AFC3">
            <w:pPr>
              <w:spacing w:line="380" w:lineRule="exact"/>
              <w:jc w:val="center"/>
              <w:rPr>
                <w:rFonts w:ascii="宋体" w:hAnsi="宋体" w:cs="宋体"/>
                <w:b/>
                <w:bCs/>
                <w:color w:val="auto"/>
                <w:sz w:val="22"/>
                <w:szCs w:val="22"/>
                <w:highlight w:val="none"/>
              </w:rPr>
            </w:pPr>
          </w:p>
        </w:tc>
      </w:tr>
      <w:tr w14:paraId="1F924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8" w:type="dxa"/>
            <w:vAlign w:val="center"/>
          </w:tcPr>
          <w:p w14:paraId="68FF1579">
            <w:pPr>
              <w:spacing w:line="380" w:lineRule="exact"/>
              <w:jc w:val="center"/>
              <w:rPr>
                <w:rFonts w:ascii="宋体" w:hAnsi="宋体" w:cs="宋体"/>
                <w:b/>
                <w:bCs/>
                <w:color w:val="auto"/>
                <w:sz w:val="22"/>
                <w:szCs w:val="22"/>
                <w:highlight w:val="none"/>
              </w:rPr>
            </w:pPr>
          </w:p>
        </w:tc>
        <w:tc>
          <w:tcPr>
            <w:tcW w:w="2197" w:type="dxa"/>
            <w:vAlign w:val="center"/>
          </w:tcPr>
          <w:p w14:paraId="74DC35A3">
            <w:pPr>
              <w:spacing w:line="380" w:lineRule="exact"/>
              <w:jc w:val="center"/>
              <w:rPr>
                <w:rFonts w:ascii="宋体" w:hAnsi="宋体" w:cs="宋体"/>
                <w:b/>
                <w:bCs/>
                <w:color w:val="auto"/>
                <w:sz w:val="22"/>
                <w:szCs w:val="22"/>
                <w:highlight w:val="none"/>
              </w:rPr>
            </w:pPr>
          </w:p>
        </w:tc>
        <w:tc>
          <w:tcPr>
            <w:tcW w:w="1640" w:type="dxa"/>
            <w:vAlign w:val="center"/>
          </w:tcPr>
          <w:p w14:paraId="7DDC2954">
            <w:pPr>
              <w:spacing w:line="380" w:lineRule="exact"/>
              <w:jc w:val="center"/>
              <w:rPr>
                <w:rFonts w:ascii="宋体" w:hAnsi="宋体" w:cs="宋体"/>
                <w:b/>
                <w:bCs/>
                <w:color w:val="auto"/>
                <w:sz w:val="22"/>
                <w:szCs w:val="22"/>
                <w:highlight w:val="none"/>
              </w:rPr>
            </w:pPr>
          </w:p>
        </w:tc>
        <w:tc>
          <w:tcPr>
            <w:tcW w:w="1263" w:type="dxa"/>
            <w:vAlign w:val="center"/>
          </w:tcPr>
          <w:p w14:paraId="351B23C1">
            <w:pPr>
              <w:spacing w:line="380" w:lineRule="exact"/>
              <w:jc w:val="center"/>
              <w:rPr>
                <w:rFonts w:ascii="宋体" w:hAnsi="宋体" w:cs="宋体"/>
                <w:b/>
                <w:bCs/>
                <w:color w:val="auto"/>
                <w:sz w:val="22"/>
                <w:szCs w:val="22"/>
                <w:highlight w:val="none"/>
              </w:rPr>
            </w:pPr>
          </w:p>
        </w:tc>
        <w:tc>
          <w:tcPr>
            <w:tcW w:w="1348" w:type="dxa"/>
            <w:vAlign w:val="center"/>
          </w:tcPr>
          <w:p w14:paraId="5E0A1AAD">
            <w:pPr>
              <w:spacing w:line="380" w:lineRule="exact"/>
              <w:jc w:val="center"/>
              <w:rPr>
                <w:rFonts w:ascii="宋体" w:hAnsi="宋体" w:cs="宋体"/>
                <w:b/>
                <w:bCs/>
                <w:color w:val="auto"/>
                <w:sz w:val="22"/>
                <w:szCs w:val="22"/>
                <w:highlight w:val="none"/>
              </w:rPr>
            </w:pPr>
          </w:p>
        </w:tc>
        <w:tc>
          <w:tcPr>
            <w:tcW w:w="2624" w:type="dxa"/>
            <w:vAlign w:val="center"/>
          </w:tcPr>
          <w:p w14:paraId="2AF2E063">
            <w:pPr>
              <w:spacing w:line="380" w:lineRule="exact"/>
              <w:jc w:val="center"/>
              <w:rPr>
                <w:rFonts w:ascii="宋体" w:hAnsi="宋体" w:cs="宋体"/>
                <w:b/>
                <w:bCs/>
                <w:color w:val="auto"/>
                <w:sz w:val="22"/>
                <w:szCs w:val="22"/>
                <w:highlight w:val="none"/>
              </w:rPr>
            </w:pPr>
          </w:p>
        </w:tc>
      </w:tr>
      <w:tr w14:paraId="456DF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8" w:type="dxa"/>
            <w:vAlign w:val="center"/>
          </w:tcPr>
          <w:p w14:paraId="32888B84">
            <w:pPr>
              <w:spacing w:line="380" w:lineRule="exact"/>
              <w:jc w:val="center"/>
              <w:rPr>
                <w:rFonts w:ascii="宋体" w:hAnsi="宋体" w:cs="宋体"/>
                <w:b/>
                <w:bCs/>
                <w:color w:val="auto"/>
                <w:sz w:val="22"/>
                <w:szCs w:val="22"/>
                <w:highlight w:val="none"/>
              </w:rPr>
            </w:pPr>
          </w:p>
        </w:tc>
        <w:tc>
          <w:tcPr>
            <w:tcW w:w="2197" w:type="dxa"/>
            <w:vAlign w:val="center"/>
          </w:tcPr>
          <w:p w14:paraId="14B32B04">
            <w:pPr>
              <w:spacing w:line="380" w:lineRule="exact"/>
              <w:jc w:val="center"/>
              <w:rPr>
                <w:rFonts w:ascii="宋体" w:hAnsi="宋体" w:cs="宋体"/>
                <w:b/>
                <w:bCs/>
                <w:color w:val="auto"/>
                <w:sz w:val="22"/>
                <w:szCs w:val="22"/>
                <w:highlight w:val="none"/>
              </w:rPr>
            </w:pPr>
          </w:p>
        </w:tc>
        <w:tc>
          <w:tcPr>
            <w:tcW w:w="1640" w:type="dxa"/>
            <w:vAlign w:val="center"/>
          </w:tcPr>
          <w:p w14:paraId="39F6183B">
            <w:pPr>
              <w:spacing w:line="380" w:lineRule="exact"/>
              <w:jc w:val="center"/>
              <w:rPr>
                <w:rFonts w:ascii="宋体" w:hAnsi="宋体" w:cs="宋体"/>
                <w:b/>
                <w:bCs/>
                <w:color w:val="auto"/>
                <w:sz w:val="22"/>
                <w:szCs w:val="22"/>
                <w:highlight w:val="none"/>
              </w:rPr>
            </w:pPr>
          </w:p>
        </w:tc>
        <w:tc>
          <w:tcPr>
            <w:tcW w:w="1263" w:type="dxa"/>
            <w:vAlign w:val="center"/>
          </w:tcPr>
          <w:p w14:paraId="7A219CE3">
            <w:pPr>
              <w:spacing w:line="380" w:lineRule="exact"/>
              <w:jc w:val="center"/>
              <w:rPr>
                <w:rFonts w:ascii="宋体" w:hAnsi="宋体" w:cs="宋体"/>
                <w:b/>
                <w:bCs/>
                <w:color w:val="auto"/>
                <w:sz w:val="22"/>
                <w:szCs w:val="22"/>
                <w:highlight w:val="none"/>
              </w:rPr>
            </w:pPr>
          </w:p>
        </w:tc>
        <w:tc>
          <w:tcPr>
            <w:tcW w:w="1348" w:type="dxa"/>
            <w:vAlign w:val="center"/>
          </w:tcPr>
          <w:p w14:paraId="5FDB79D0">
            <w:pPr>
              <w:spacing w:line="380" w:lineRule="exact"/>
              <w:jc w:val="center"/>
              <w:rPr>
                <w:rFonts w:ascii="宋体" w:hAnsi="宋体" w:cs="宋体"/>
                <w:b/>
                <w:bCs/>
                <w:color w:val="auto"/>
                <w:sz w:val="22"/>
                <w:szCs w:val="22"/>
                <w:highlight w:val="none"/>
              </w:rPr>
            </w:pPr>
          </w:p>
        </w:tc>
        <w:tc>
          <w:tcPr>
            <w:tcW w:w="2624" w:type="dxa"/>
            <w:vAlign w:val="center"/>
          </w:tcPr>
          <w:p w14:paraId="018FCFF5">
            <w:pPr>
              <w:spacing w:line="380" w:lineRule="exact"/>
              <w:jc w:val="center"/>
              <w:rPr>
                <w:rFonts w:ascii="宋体" w:hAnsi="宋体" w:cs="宋体"/>
                <w:b/>
                <w:bCs/>
                <w:color w:val="auto"/>
                <w:sz w:val="22"/>
                <w:szCs w:val="22"/>
                <w:highlight w:val="none"/>
              </w:rPr>
            </w:pPr>
          </w:p>
        </w:tc>
      </w:tr>
      <w:tr w14:paraId="0023E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8" w:type="dxa"/>
            <w:vAlign w:val="center"/>
          </w:tcPr>
          <w:p w14:paraId="15045346">
            <w:pPr>
              <w:spacing w:line="380" w:lineRule="exact"/>
              <w:jc w:val="center"/>
              <w:rPr>
                <w:rFonts w:ascii="宋体" w:hAnsi="宋体" w:cs="宋体"/>
                <w:b/>
                <w:bCs/>
                <w:color w:val="auto"/>
                <w:sz w:val="22"/>
                <w:szCs w:val="22"/>
                <w:highlight w:val="none"/>
              </w:rPr>
            </w:pPr>
          </w:p>
        </w:tc>
        <w:tc>
          <w:tcPr>
            <w:tcW w:w="2197" w:type="dxa"/>
            <w:vAlign w:val="center"/>
          </w:tcPr>
          <w:p w14:paraId="4752EF3F">
            <w:pPr>
              <w:spacing w:line="380" w:lineRule="exact"/>
              <w:jc w:val="center"/>
              <w:rPr>
                <w:rFonts w:ascii="宋体" w:hAnsi="宋体" w:cs="宋体"/>
                <w:b/>
                <w:bCs/>
                <w:color w:val="auto"/>
                <w:sz w:val="22"/>
                <w:szCs w:val="22"/>
                <w:highlight w:val="none"/>
              </w:rPr>
            </w:pPr>
          </w:p>
        </w:tc>
        <w:tc>
          <w:tcPr>
            <w:tcW w:w="1640" w:type="dxa"/>
            <w:vAlign w:val="center"/>
          </w:tcPr>
          <w:p w14:paraId="03824A63">
            <w:pPr>
              <w:spacing w:line="380" w:lineRule="exact"/>
              <w:jc w:val="center"/>
              <w:rPr>
                <w:rFonts w:ascii="宋体" w:hAnsi="宋体" w:cs="宋体"/>
                <w:b/>
                <w:bCs/>
                <w:color w:val="auto"/>
                <w:sz w:val="22"/>
                <w:szCs w:val="22"/>
                <w:highlight w:val="none"/>
              </w:rPr>
            </w:pPr>
          </w:p>
        </w:tc>
        <w:tc>
          <w:tcPr>
            <w:tcW w:w="1263" w:type="dxa"/>
            <w:vAlign w:val="center"/>
          </w:tcPr>
          <w:p w14:paraId="46BC72EA">
            <w:pPr>
              <w:spacing w:line="380" w:lineRule="exact"/>
              <w:jc w:val="center"/>
              <w:rPr>
                <w:rFonts w:ascii="宋体" w:hAnsi="宋体" w:cs="宋体"/>
                <w:b/>
                <w:bCs/>
                <w:color w:val="auto"/>
                <w:sz w:val="22"/>
                <w:szCs w:val="22"/>
                <w:highlight w:val="none"/>
              </w:rPr>
            </w:pPr>
          </w:p>
        </w:tc>
        <w:tc>
          <w:tcPr>
            <w:tcW w:w="1348" w:type="dxa"/>
            <w:vAlign w:val="center"/>
          </w:tcPr>
          <w:p w14:paraId="0F815E83">
            <w:pPr>
              <w:spacing w:line="380" w:lineRule="exact"/>
              <w:jc w:val="center"/>
              <w:rPr>
                <w:rFonts w:ascii="宋体" w:hAnsi="宋体" w:cs="宋体"/>
                <w:b/>
                <w:bCs/>
                <w:color w:val="auto"/>
                <w:sz w:val="22"/>
                <w:szCs w:val="22"/>
                <w:highlight w:val="none"/>
              </w:rPr>
            </w:pPr>
          </w:p>
        </w:tc>
        <w:tc>
          <w:tcPr>
            <w:tcW w:w="2624" w:type="dxa"/>
            <w:vAlign w:val="center"/>
          </w:tcPr>
          <w:p w14:paraId="6836A1C9">
            <w:pPr>
              <w:spacing w:line="380" w:lineRule="exact"/>
              <w:jc w:val="center"/>
              <w:rPr>
                <w:rFonts w:ascii="宋体" w:hAnsi="宋体" w:cs="宋体"/>
                <w:b/>
                <w:bCs/>
                <w:color w:val="auto"/>
                <w:sz w:val="22"/>
                <w:szCs w:val="22"/>
                <w:highlight w:val="none"/>
              </w:rPr>
            </w:pPr>
          </w:p>
        </w:tc>
      </w:tr>
      <w:tr w14:paraId="5BDC5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8" w:type="dxa"/>
            <w:vAlign w:val="center"/>
          </w:tcPr>
          <w:p w14:paraId="1805834A">
            <w:pPr>
              <w:spacing w:line="380" w:lineRule="exact"/>
              <w:jc w:val="center"/>
              <w:rPr>
                <w:rFonts w:ascii="宋体" w:hAnsi="宋体" w:cs="宋体"/>
                <w:b/>
                <w:bCs/>
                <w:color w:val="auto"/>
                <w:sz w:val="22"/>
                <w:szCs w:val="22"/>
                <w:highlight w:val="none"/>
              </w:rPr>
            </w:pPr>
          </w:p>
        </w:tc>
        <w:tc>
          <w:tcPr>
            <w:tcW w:w="2197" w:type="dxa"/>
            <w:vAlign w:val="center"/>
          </w:tcPr>
          <w:p w14:paraId="18EE5B1A">
            <w:pPr>
              <w:spacing w:line="380" w:lineRule="exact"/>
              <w:jc w:val="center"/>
              <w:rPr>
                <w:rFonts w:ascii="宋体" w:hAnsi="宋体" w:cs="宋体"/>
                <w:b/>
                <w:bCs/>
                <w:color w:val="auto"/>
                <w:sz w:val="22"/>
                <w:szCs w:val="22"/>
                <w:highlight w:val="none"/>
              </w:rPr>
            </w:pPr>
          </w:p>
        </w:tc>
        <w:tc>
          <w:tcPr>
            <w:tcW w:w="1640" w:type="dxa"/>
            <w:vAlign w:val="center"/>
          </w:tcPr>
          <w:p w14:paraId="55DF5255">
            <w:pPr>
              <w:spacing w:line="380" w:lineRule="exact"/>
              <w:jc w:val="center"/>
              <w:rPr>
                <w:rFonts w:ascii="宋体" w:hAnsi="宋体" w:cs="宋体"/>
                <w:b/>
                <w:bCs/>
                <w:color w:val="auto"/>
                <w:sz w:val="22"/>
                <w:szCs w:val="22"/>
                <w:highlight w:val="none"/>
              </w:rPr>
            </w:pPr>
          </w:p>
        </w:tc>
        <w:tc>
          <w:tcPr>
            <w:tcW w:w="1263" w:type="dxa"/>
            <w:vAlign w:val="center"/>
          </w:tcPr>
          <w:p w14:paraId="5D183219">
            <w:pPr>
              <w:spacing w:line="380" w:lineRule="exact"/>
              <w:jc w:val="center"/>
              <w:rPr>
                <w:rFonts w:ascii="宋体" w:hAnsi="宋体" w:cs="宋体"/>
                <w:b/>
                <w:bCs/>
                <w:color w:val="auto"/>
                <w:sz w:val="22"/>
                <w:szCs w:val="22"/>
                <w:highlight w:val="none"/>
              </w:rPr>
            </w:pPr>
          </w:p>
        </w:tc>
        <w:tc>
          <w:tcPr>
            <w:tcW w:w="1348" w:type="dxa"/>
            <w:vAlign w:val="center"/>
          </w:tcPr>
          <w:p w14:paraId="308C5C19">
            <w:pPr>
              <w:spacing w:line="380" w:lineRule="exact"/>
              <w:jc w:val="center"/>
              <w:rPr>
                <w:rFonts w:ascii="宋体" w:hAnsi="宋体" w:cs="宋体"/>
                <w:b/>
                <w:bCs/>
                <w:color w:val="auto"/>
                <w:sz w:val="22"/>
                <w:szCs w:val="22"/>
                <w:highlight w:val="none"/>
              </w:rPr>
            </w:pPr>
          </w:p>
        </w:tc>
        <w:tc>
          <w:tcPr>
            <w:tcW w:w="2624" w:type="dxa"/>
            <w:vAlign w:val="center"/>
          </w:tcPr>
          <w:p w14:paraId="170FAE4D">
            <w:pPr>
              <w:spacing w:line="380" w:lineRule="exact"/>
              <w:jc w:val="center"/>
              <w:rPr>
                <w:rFonts w:ascii="宋体" w:hAnsi="宋体" w:cs="宋体"/>
                <w:b/>
                <w:bCs/>
                <w:color w:val="auto"/>
                <w:sz w:val="22"/>
                <w:szCs w:val="22"/>
                <w:highlight w:val="none"/>
              </w:rPr>
            </w:pPr>
          </w:p>
        </w:tc>
      </w:tr>
      <w:tr w14:paraId="54F6D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8" w:type="dxa"/>
            <w:vAlign w:val="center"/>
          </w:tcPr>
          <w:p w14:paraId="2997F6BB">
            <w:pPr>
              <w:spacing w:line="380" w:lineRule="exact"/>
              <w:jc w:val="center"/>
              <w:rPr>
                <w:rFonts w:ascii="宋体" w:hAnsi="宋体" w:cs="宋体"/>
                <w:b/>
                <w:bCs/>
                <w:color w:val="auto"/>
                <w:sz w:val="22"/>
                <w:szCs w:val="22"/>
                <w:highlight w:val="none"/>
              </w:rPr>
            </w:pPr>
          </w:p>
        </w:tc>
        <w:tc>
          <w:tcPr>
            <w:tcW w:w="2197" w:type="dxa"/>
            <w:vAlign w:val="center"/>
          </w:tcPr>
          <w:p w14:paraId="29B260D0">
            <w:pPr>
              <w:spacing w:line="380" w:lineRule="exact"/>
              <w:jc w:val="center"/>
              <w:rPr>
                <w:rFonts w:ascii="宋体" w:hAnsi="宋体" w:cs="宋体"/>
                <w:b/>
                <w:bCs/>
                <w:color w:val="auto"/>
                <w:sz w:val="22"/>
                <w:szCs w:val="22"/>
                <w:highlight w:val="none"/>
              </w:rPr>
            </w:pPr>
          </w:p>
        </w:tc>
        <w:tc>
          <w:tcPr>
            <w:tcW w:w="1640" w:type="dxa"/>
            <w:vAlign w:val="center"/>
          </w:tcPr>
          <w:p w14:paraId="0FF8DE73">
            <w:pPr>
              <w:spacing w:line="380" w:lineRule="exact"/>
              <w:jc w:val="center"/>
              <w:rPr>
                <w:rFonts w:ascii="宋体" w:hAnsi="宋体" w:cs="宋体"/>
                <w:b/>
                <w:bCs/>
                <w:color w:val="auto"/>
                <w:sz w:val="22"/>
                <w:szCs w:val="22"/>
                <w:highlight w:val="none"/>
              </w:rPr>
            </w:pPr>
          </w:p>
        </w:tc>
        <w:tc>
          <w:tcPr>
            <w:tcW w:w="1263" w:type="dxa"/>
            <w:vAlign w:val="center"/>
          </w:tcPr>
          <w:p w14:paraId="5D84AFA8">
            <w:pPr>
              <w:spacing w:line="380" w:lineRule="exact"/>
              <w:jc w:val="center"/>
              <w:rPr>
                <w:rFonts w:ascii="宋体" w:hAnsi="宋体" w:cs="宋体"/>
                <w:b/>
                <w:bCs/>
                <w:color w:val="auto"/>
                <w:sz w:val="22"/>
                <w:szCs w:val="22"/>
                <w:highlight w:val="none"/>
              </w:rPr>
            </w:pPr>
          </w:p>
        </w:tc>
        <w:tc>
          <w:tcPr>
            <w:tcW w:w="1348" w:type="dxa"/>
            <w:vAlign w:val="center"/>
          </w:tcPr>
          <w:p w14:paraId="240E3B2C">
            <w:pPr>
              <w:spacing w:line="380" w:lineRule="exact"/>
              <w:jc w:val="center"/>
              <w:rPr>
                <w:rFonts w:ascii="宋体" w:hAnsi="宋体" w:cs="宋体"/>
                <w:b/>
                <w:bCs/>
                <w:color w:val="auto"/>
                <w:sz w:val="22"/>
                <w:szCs w:val="22"/>
                <w:highlight w:val="none"/>
              </w:rPr>
            </w:pPr>
          </w:p>
        </w:tc>
        <w:tc>
          <w:tcPr>
            <w:tcW w:w="2624" w:type="dxa"/>
            <w:vAlign w:val="center"/>
          </w:tcPr>
          <w:p w14:paraId="78992468">
            <w:pPr>
              <w:spacing w:line="380" w:lineRule="exact"/>
              <w:jc w:val="center"/>
              <w:rPr>
                <w:rFonts w:ascii="宋体" w:hAnsi="宋体" w:cs="宋体"/>
                <w:b/>
                <w:bCs/>
                <w:color w:val="auto"/>
                <w:sz w:val="22"/>
                <w:szCs w:val="22"/>
                <w:highlight w:val="none"/>
              </w:rPr>
            </w:pPr>
          </w:p>
        </w:tc>
      </w:tr>
      <w:tr w14:paraId="1461E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8" w:type="dxa"/>
            <w:vAlign w:val="center"/>
          </w:tcPr>
          <w:p w14:paraId="1C43B839">
            <w:pPr>
              <w:spacing w:line="380" w:lineRule="exact"/>
              <w:jc w:val="center"/>
              <w:rPr>
                <w:rFonts w:ascii="宋体" w:hAnsi="宋体" w:cs="宋体"/>
                <w:b/>
                <w:bCs/>
                <w:color w:val="auto"/>
                <w:sz w:val="22"/>
                <w:szCs w:val="22"/>
                <w:highlight w:val="none"/>
              </w:rPr>
            </w:pPr>
          </w:p>
        </w:tc>
        <w:tc>
          <w:tcPr>
            <w:tcW w:w="2197" w:type="dxa"/>
            <w:vAlign w:val="center"/>
          </w:tcPr>
          <w:p w14:paraId="50EEEC88">
            <w:pPr>
              <w:spacing w:line="380" w:lineRule="exact"/>
              <w:jc w:val="center"/>
              <w:rPr>
                <w:rFonts w:ascii="宋体" w:hAnsi="宋体" w:cs="宋体"/>
                <w:b/>
                <w:bCs/>
                <w:color w:val="auto"/>
                <w:sz w:val="22"/>
                <w:szCs w:val="22"/>
                <w:highlight w:val="none"/>
              </w:rPr>
            </w:pPr>
          </w:p>
        </w:tc>
        <w:tc>
          <w:tcPr>
            <w:tcW w:w="1640" w:type="dxa"/>
            <w:vAlign w:val="center"/>
          </w:tcPr>
          <w:p w14:paraId="75A367E2">
            <w:pPr>
              <w:spacing w:line="380" w:lineRule="exact"/>
              <w:jc w:val="center"/>
              <w:rPr>
                <w:rFonts w:ascii="宋体" w:hAnsi="宋体" w:cs="宋体"/>
                <w:b/>
                <w:bCs/>
                <w:color w:val="auto"/>
                <w:sz w:val="22"/>
                <w:szCs w:val="22"/>
                <w:highlight w:val="none"/>
              </w:rPr>
            </w:pPr>
          </w:p>
        </w:tc>
        <w:tc>
          <w:tcPr>
            <w:tcW w:w="1263" w:type="dxa"/>
            <w:vAlign w:val="center"/>
          </w:tcPr>
          <w:p w14:paraId="10834AF4">
            <w:pPr>
              <w:spacing w:line="380" w:lineRule="exact"/>
              <w:jc w:val="center"/>
              <w:rPr>
                <w:rFonts w:ascii="宋体" w:hAnsi="宋体" w:cs="宋体"/>
                <w:b/>
                <w:bCs/>
                <w:color w:val="auto"/>
                <w:sz w:val="22"/>
                <w:szCs w:val="22"/>
                <w:highlight w:val="none"/>
              </w:rPr>
            </w:pPr>
          </w:p>
        </w:tc>
        <w:tc>
          <w:tcPr>
            <w:tcW w:w="1348" w:type="dxa"/>
            <w:vAlign w:val="center"/>
          </w:tcPr>
          <w:p w14:paraId="40D7B0B8">
            <w:pPr>
              <w:spacing w:line="380" w:lineRule="exact"/>
              <w:jc w:val="center"/>
              <w:rPr>
                <w:rFonts w:ascii="宋体" w:hAnsi="宋体" w:cs="宋体"/>
                <w:b/>
                <w:bCs/>
                <w:color w:val="auto"/>
                <w:sz w:val="22"/>
                <w:szCs w:val="22"/>
                <w:highlight w:val="none"/>
              </w:rPr>
            </w:pPr>
          </w:p>
        </w:tc>
        <w:tc>
          <w:tcPr>
            <w:tcW w:w="2624" w:type="dxa"/>
            <w:vAlign w:val="center"/>
          </w:tcPr>
          <w:p w14:paraId="7B43AD7E">
            <w:pPr>
              <w:spacing w:line="380" w:lineRule="exact"/>
              <w:jc w:val="center"/>
              <w:rPr>
                <w:rFonts w:ascii="宋体" w:hAnsi="宋体" w:cs="宋体"/>
                <w:b/>
                <w:bCs/>
                <w:color w:val="auto"/>
                <w:sz w:val="22"/>
                <w:szCs w:val="22"/>
                <w:highlight w:val="none"/>
              </w:rPr>
            </w:pPr>
          </w:p>
        </w:tc>
      </w:tr>
      <w:tr w14:paraId="602D3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8" w:type="dxa"/>
            <w:vAlign w:val="center"/>
          </w:tcPr>
          <w:p w14:paraId="6F531099">
            <w:pPr>
              <w:spacing w:line="380" w:lineRule="exact"/>
              <w:jc w:val="center"/>
              <w:rPr>
                <w:rFonts w:ascii="宋体" w:hAnsi="宋体" w:cs="宋体"/>
                <w:b/>
                <w:bCs/>
                <w:color w:val="auto"/>
                <w:sz w:val="22"/>
                <w:szCs w:val="22"/>
                <w:highlight w:val="none"/>
              </w:rPr>
            </w:pPr>
          </w:p>
        </w:tc>
        <w:tc>
          <w:tcPr>
            <w:tcW w:w="2197" w:type="dxa"/>
            <w:vAlign w:val="center"/>
          </w:tcPr>
          <w:p w14:paraId="755D2A95">
            <w:pPr>
              <w:spacing w:line="380" w:lineRule="exact"/>
              <w:jc w:val="center"/>
              <w:rPr>
                <w:rFonts w:ascii="宋体" w:hAnsi="宋体" w:cs="宋体"/>
                <w:b/>
                <w:bCs/>
                <w:color w:val="auto"/>
                <w:sz w:val="22"/>
                <w:szCs w:val="22"/>
                <w:highlight w:val="none"/>
              </w:rPr>
            </w:pPr>
          </w:p>
        </w:tc>
        <w:tc>
          <w:tcPr>
            <w:tcW w:w="1640" w:type="dxa"/>
            <w:vAlign w:val="center"/>
          </w:tcPr>
          <w:p w14:paraId="2AD1C00D">
            <w:pPr>
              <w:spacing w:line="380" w:lineRule="exact"/>
              <w:jc w:val="center"/>
              <w:rPr>
                <w:rFonts w:ascii="宋体" w:hAnsi="宋体" w:cs="宋体"/>
                <w:b/>
                <w:bCs/>
                <w:color w:val="auto"/>
                <w:sz w:val="22"/>
                <w:szCs w:val="22"/>
                <w:highlight w:val="none"/>
              </w:rPr>
            </w:pPr>
          </w:p>
        </w:tc>
        <w:tc>
          <w:tcPr>
            <w:tcW w:w="1263" w:type="dxa"/>
            <w:vAlign w:val="center"/>
          </w:tcPr>
          <w:p w14:paraId="403163BE">
            <w:pPr>
              <w:spacing w:line="380" w:lineRule="exact"/>
              <w:jc w:val="center"/>
              <w:rPr>
                <w:rFonts w:ascii="宋体" w:hAnsi="宋体" w:cs="宋体"/>
                <w:b/>
                <w:bCs/>
                <w:color w:val="auto"/>
                <w:sz w:val="22"/>
                <w:szCs w:val="22"/>
                <w:highlight w:val="none"/>
              </w:rPr>
            </w:pPr>
          </w:p>
        </w:tc>
        <w:tc>
          <w:tcPr>
            <w:tcW w:w="1348" w:type="dxa"/>
            <w:vAlign w:val="center"/>
          </w:tcPr>
          <w:p w14:paraId="45593533">
            <w:pPr>
              <w:spacing w:line="380" w:lineRule="exact"/>
              <w:jc w:val="center"/>
              <w:rPr>
                <w:rFonts w:ascii="宋体" w:hAnsi="宋体" w:cs="宋体"/>
                <w:b/>
                <w:bCs/>
                <w:color w:val="auto"/>
                <w:sz w:val="22"/>
                <w:szCs w:val="22"/>
                <w:highlight w:val="none"/>
              </w:rPr>
            </w:pPr>
          </w:p>
        </w:tc>
        <w:tc>
          <w:tcPr>
            <w:tcW w:w="2624" w:type="dxa"/>
            <w:vAlign w:val="center"/>
          </w:tcPr>
          <w:p w14:paraId="698320FC">
            <w:pPr>
              <w:spacing w:line="380" w:lineRule="exact"/>
              <w:jc w:val="center"/>
              <w:rPr>
                <w:rFonts w:ascii="宋体" w:hAnsi="宋体" w:cs="宋体"/>
                <w:b/>
                <w:bCs/>
                <w:color w:val="auto"/>
                <w:sz w:val="22"/>
                <w:szCs w:val="22"/>
                <w:highlight w:val="none"/>
              </w:rPr>
            </w:pPr>
          </w:p>
        </w:tc>
      </w:tr>
    </w:tbl>
    <w:p w14:paraId="5F6E3747">
      <w:pPr>
        <w:spacing w:line="440" w:lineRule="exact"/>
        <w:rPr>
          <w:rFonts w:ascii="宋体" w:hAnsi="宋体" w:cs="宋体"/>
          <w:b/>
          <w:color w:val="auto"/>
          <w:sz w:val="22"/>
          <w:szCs w:val="22"/>
          <w:highlight w:val="none"/>
        </w:rPr>
      </w:pPr>
      <w:bookmarkStart w:id="184" w:name="_Toc480204650"/>
      <w:bookmarkStart w:id="185" w:name="_Toc13603237"/>
      <w:bookmarkStart w:id="186" w:name="_Toc469730741"/>
      <w:bookmarkStart w:id="187" w:name="_Toc54034498"/>
      <w:bookmarkStart w:id="188" w:name="_Toc82417917"/>
      <w:r>
        <w:rPr>
          <w:rFonts w:hint="eastAsia" w:ascii="宋体" w:hAnsi="宋体" w:cs="宋体"/>
          <w:b/>
          <w:color w:val="auto"/>
          <w:sz w:val="22"/>
          <w:szCs w:val="22"/>
          <w:highlight w:val="none"/>
        </w:rPr>
        <w:t>注：根据商务技术评分要求提供证明材料。</w:t>
      </w:r>
    </w:p>
    <w:p w14:paraId="028B4D77">
      <w:pPr>
        <w:tabs>
          <w:tab w:val="left" w:pos="720"/>
          <w:tab w:val="left" w:pos="1260"/>
          <w:tab w:val="left" w:pos="5355"/>
        </w:tabs>
        <w:spacing w:line="430" w:lineRule="exact"/>
        <w:rPr>
          <w:rFonts w:ascii="宋体" w:hAnsi="宋体" w:cs="宋体"/>
          <w:bCs/>
          <w:color w:val="auto"/>
          <w:sz w:val="22"/>
          <w:szCs w:val="22"/>
          <w:highlight w:val="none"/>
        </w:rPr>
      </w:pPr>
    </w:p>
    <w:p w14:paraId="1F7E2C23">
      <w:pPr>
        <w:spacing w:line="440" w:lineRule="exact"/>
        <w:ind w:firstLine="4400" w:firstLineChars="2000"/>
        <w:rPr>
          <w:rFonts w:ascii="宋体" w:hAnsi="宋体" w:cs="宋体"/>
          <w:color w:val="auto"/>
          <w:sz w:val="22"/>
          <w:szCs w:val="22"/>
          <w:highlight w:val="none"/>
        </w:rPr>
      </w:pPr>
    </w:p>
    <w:p w14:paraId="6BB9F81A">
      <w:pPr>
        <w:spacing w:line="440" w:lineRule="exact"/>
        <w:rPr>
          <w:rFonts w:ascii="宋体" w:hAnsi="宋体" w:cs="宋体"/>
          <w:color w:val="auto"/>
          <w:sz w:val="22"/>
          <w:szCs w:val="22"/>
          <w:highlight w:val="none"/>
        </w:rPr>
      </w:pPr>
    </w:p>
    <w:p w14:paraId="5E45CE18">
      <w:pPr>
        <w:spacing w:line="440" w:lineRule="exact"/>
        <w:ind w:firstLine="4400" w:firstLineChars="2000"/>
        <w:rPr>
          <w:rFonts w:ascii="宋体" w:hAnsi="宋体" w:cs="宋体"/>
          <w:color w:val="auto"/>
          <w:sz w:val="22"/>
          <w:szCs w:val="22"/>
          <w:highlight w:val="none"/>
        </w:rPr>
      </w:pPr>
    </w:p>
    <w:p w14:paraId="5A099330">
      <w:pPr>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投标人全称（电子签名/公章）：</w:t>
      </w:r>
    </w:p>
    <w:p w14:paraId="20D81273">
      <w:pPr>
        <w:spacing w:line="440" w:lineRule="exact"/>
        <w:ind w:firstLine="4180" w:firstLineChars="1900"/>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bookmarkEnd w:id="184"/>
    <w:bookmarkEnd w:id="185"/>
    <w:bookmarkEnd w:id="186"/>
    <w:bookmarkEnd w:id="187"/>
    <w:bookmarkEnd w:id="188"/>
    <w:p w14:paraId="1EF26A70">
      <w:pPr>
        <w:pStyle w:val="93"/>
        <w:rPr>
          <w:color w:val="auto"/>
          <w:highlight w:val="none"/>
        </w:rPr>
      </w:pPr>
    </w:p>
    <w:p w14:paraId="5E3884A7">
      <w:pPr>
        <w:pStyle w:val="3"/>
        <w:spacing w:line="240" w:lineRule="auto"/>
        <w:rPr>
          <w:rFonts w:ascii="宋体" w:hAnsi="宋体" w:eastAsia="宋体"/>
          <w:color w:val="auto"/>
          <w:sz w:val="24"/>
          <w:szCs w:val="24"/>
          <w:highlight w:val="none"/>
        </w:rPr>
      </w:pPr>
      <w:r>
        <w:rPr>
          <w:rFonts w:hint="eastAsia" w:ascii="宋体" w:hAnsi="宋体" w:cs="宋体"/>
          <w:color w:val="auto"/>
          <w:sz w:val="22"/>
          <w:szCs w:val="22"/>
          <w:highlight w:val="none"/>
        </w:rPr>
        <w:br w:type="page"/>
      </w:r>
      <w:bookmarkStart w:id="189" w:name="_Toc524273184"/>
      <w:bookmarkStart w:id="190" w:name="_Toc20385"/>
      <w:bookmarkStart w:id="191" w:name="_Toc40035657"/>
      <w:bookmarkStart w:id="192" w:name="_Toc16440"/>
      <w:bookmarkStart w:id="193" w:name="_Toc10560"/>
      <w:r>
        <w:rPr>
          <w:rFonts w:ascii="宋体" w:hAnsi="宋体" w:eastAsia="宋体"/>
          <w:color w:val="auto"/>
          <w:sz w:val="24"/>
          <w:szCs w:val="24"/>
          <w:highlight w:val="none"/>
        </w:rPr>
        <w:t>附件</w:t>
      </w:r>
      <w:r>
        <w:rPr>
          <w:rFonts w:hint="eastAsia" w:ascii="宋体" w:hAnsi="宋体" w:eastAsia="宋体"/>
          <w:color w:val="auto"/>
          <w:sz w:val="24"/>
          <w:szCs w:val="24"/>
          <w:highlight w:val="none"/>
          <w:lang w:val="en-US" w:eastAsia="zh-CN"/>
        </w:rPr>
        <w:t>七</w:t>
      </w:r>
      <w:r>
        <w:rPr>
          <w:rFonts w:hint="eastAsia" w:ascii="宋体" w:hAnsi="宋体" w:eastAsia="宋体"/>
          <w:color w:val="auto"/>
          <w:sz w:val="24"/>
          <w:szCs w:val="24"/>
          <w:highlight w:val="none"/>
        </w:rPr>
        <w:t xml:space="preserve"> 政府采购政策功能相关说明</w:t>
      </w:r>
      <w:bookmarkEnd w:id="189"/>
      <w:bookmarkEnd w:id="190"/>
      <w:bookmarkEnd w:id="191"/>
      <w:bookmarkEnd w:id="192"/>
      <w:bookmarkEnd w:id="193"/>
    </w:p>
    <w:p w14:paraId="558EB333">
      <w:pPr>
        <w:spacing w:line="440" w:lineRule="exact"/>
        <w:ind w:left="708" w:hanging="708" w:hangingChars="294"/>
        <w:jc w:val="center"/>
        <w:rPr>
          <w:rFonts w:ascii="宋体" w:hAnsi="宋体" w:cs="宋体"/>
          <w:b/>
          <w:color w:val="auto"/>
          <w:sz w:val="24"/>
          <w:highlight w:val="none"/>
        </w:rPr>
      </w:pPr>
      <w:r>
        <w:rPr>
          <w:rFonts w:hint="eastAsia" w:ascii="宋体" w:hAnsi="宋体" w:cs="宋体"/>
          <w:b/>
          <w:color w:val="auto"/>
          <w:sz w:val="24"/>
          <w:highlight w:val="none"/>
        </w:rPr>
        <w:t>（1）小、微企业（含监狱企业、残疾人福利性单位）扶持政策说明</w:t>
      </w:r>
    </w:p>
    <w:p w14:paraId="08941866">
      <w:pPr>
        <w:spacing w:line="440" w:lineRule="atLeast"/>
        <w:jc w:val="left"/>
        <w:rPr>
          <w:rFonts w:ascii="宋体" w:hAnsi="宋体"/>
          <w:color w:val="auto"/>
          <w:sz w:val="22"/>
          <w:highlight w:val="none"/>
        </w:rPr>
      </w:pPr>
      <w:r>
        <w:rPr>
          <w:rFonts w:ascii="宋体" w:hAnsi="宋体"/>
          <w:color w:val="auto"/>
          <w:sz w:val="22"/>
          <w:highlight w:val="none"/>
        </w:rPr>
        <w:t xml:space="preserve">1.   </w:t>
      </w:r>
      <w:r>
        <w:rPr>
          <w:rFonts w:hint="eastAsia" w:ascii="宋体" w:hAnsi="宋体"/>
          <w:color w:val="auto"/>
          <w:sz w:val="22"/>
          <w:highlight w:val="none"/>
        </w:rPr>
        <w:t>文件依据</w:t>
      </w:r>
    </w:p>
    <w:p w14:paraId="10470E7A">
      <w:pPr>
        <w:spacing w:line="440" w:lineRule="atLeast"/>
        <w:jc w:val="left"/>
        <w:rPr>
          <w:rFonts w:ascii="宋体" w:hAnsi="宋体"/>
          <w:color w:val="auto"/>
          <w:sz w:val="22"/>
          <w:highlight w:val="none"/>
        </w:rPr>
      </w:pPr>
      <w:r>
        <w:rPr>
          <w:rFonts w:hint="eastAsia" w:ascii="宋体" w:hAnsi="宋体"/>
          <w:color w:val="auto"/>
          <w:sz w:val="22"/>
          <w:highlight w:val="none"/>
        </w:rPr>
        <w:t>（1）关于印发《政府采购促进中小企业发展暂行办法》的通知（财库〔2020〕46号）</w:t>
      </w:r>
    </w:p>
    <w:p w14:paraId="2A45A63B">
      <w:pPr>
        <w:spacing w:line="440" w:lineRule="atLeast"/>
        <w:jc w:val="left"/>
        <w:rPr>
          <w:rFonts w:ascii="宋体" w:hAnsi="宋体"/>
          <w:color w:val="auto"/>
          <w:sz w:val="22"/>
          <w:highlight w:val="none"/>
        </w:rPr>
      </w:pPr>
      <w:r>
        <w:rPr>
          <w:rFonts w:hint="eastAsia" w:ascii="宋体" w:hAnsi="宋体"/>
          <w:color w:val="auto"/>
          <w:sz w:val="22"/>
          <w:highlight w:val="none"/>
        </w:rPr>
        <w:t>（4）《工业和信息化部、国家统计局、国家发展和改革委员会、财政部关于印发中小企业划型标准规定的通知》（</w:t>
      </w:r>
      <w:r>
        <w:rPr>
          <w:rFonts w:ascii="宋体" w:hAnsi="宋体"/>
          <w:color w:val="auto"/>
          <w:sz w:val="22"/>
          <w:highlight w:val="none"/>
        </w:rPr>
        <w:t>工信部联企业[2011]300号</w:t>
      </w:r>
      <w:r>
        <w:rPr>
          <w:rFonts w:hint="eastAsia" w:ascii="宋体" w:hAnsi="宋体"/>
          <w:color w:val="auto"/>
          <w:sz w:val="22"/>
          <w:highlight w:val="none"/>
        </w:rPr>
        <w:t>）</w:t>
      </w:r>
    </w:p>
    <w:p w14:paraId="64F5E477">
      <w:pPr>
        <w:spacing w:line="440" w:lineRule="atLeast"/>
        <w:jc w:val="left"/>
        <w:rPr>
          <w:rFonts w:ascii="宋体" w:hAnsi="宋体"/>
          <w:color w:val="auto"/>
          <w:sz w:val="22"/>
          <w:highlight w:val="none"/>
        </w:rPr>
      </w:pPr>
      <w:r>
        <w:rPr>
          <w:rFonts w:hint="eastAsia" w:ascii="宋体" w:hAnsi="宋体"/>
          <w:color w:val="auto"/>
          <w:sz w:val="22"/>
          <w:highlight w:val="none"/>
        </w:rPr>
        <w:t>（</w:t>
      </w:r>
      <w:r>
        <w:rPr>
          <w:rFonts w:ascii="宋体" w:hAnsi="宋体"/>
          <w:color w:val="auto"/>
          <w:sz w:val="22"/>
          <w:highlight w:val="none"/>
        </w:rPr>
        <w:t>3</w:t>
      </w:r>
      <w:r>
        <w:rPr>
          <w:rFonts w:hint="eastAsia" w:ascii="宋体" w:hAnsi="宋体"/>
          <w:color w:val="auto"/>
          <w:sz w:val="22"/>
          <w:highlight w:val="none"/>
        </w:rPr>
        <w:t>）财政部、司法部《关于政府采购支持监狱企业发展有关问题的通知》（财库〔2014〕68号）</w:t>
      </w:r>
    </w:p>
    <w:p w14:paraId="072E8997">
      <w:pPr>
        <w:spacing w:line="440" w:lineRule="atLeast"/>
        <w:jc w:val="left"/>
        <w:rPr>
          <w:rFonts w:ascii="宋体" w:hAnsi="宋体"/>
          <w:color w:val="auto"/>
          <w:sz w:val="22"/>
          <w:highlight w:val="none"/>
        </w:rPr>
      </w:pPr>
      <w:r>
        <w:rPr>
          <w:rFonts w:hint="eastAsia" w:ascii="宋体" w:hAnsi="宋体"/>
          <w:color w:val="auto"/>
          <w:sz w:val="22"/>
          <w:highlight w:val="none"/>
        </w:rPr>
        <w:t>（</w:t>
      </w:r>
      <w:r>
        <w:rPr>
          <w:rFonts w:ascii="宋体" w:hAnsi="宋体"/>
          <w:color w:val="auto"/>
          <w:sz w:val="22"/>
          <w:highlight w:val="none"/>
        </w:rPr>
        <w:t>4</w:t>
      </w:r>
      <w:r>
        <w:rPr>
          <w:rFonts w:hint="eastAsia" w:ascii="宋体" w:hAnsi="宋体"/>
          <w:color w:val="auto"/>
          <w:sz w:val="22"/>
          <w:highlight w:val="none"/>
        </w:rPr>
        <w:t>）《财政部 民政部 中国残疾人联合会关于促进残疾人就业政府采购政策的通知》（财库〔2017〕 141号）</w:t>
      </w:r>
    </w:p>
    <w:p w14:paraId="60975724">
      <w:pPr>
        <w:spacing w:line="440" w:lineRule="atLeast"/>
        <w:jc w:val="left"/>
        <w:rPr>
          <w:rFonts w:ascii="宋体" w:hAnsi="宋体"/>
          <w:color w:val="auto"/>
          <w:sz w:val="22"/>
          <w:highlight w:val="none"/>
        </w:rPr>
      </w:pPr>
      <w:r>
        <w:rPr>
          <w:rFonts w:hint="eastAsia" w:ascii="宋体" w:hAnsi="宋体"/>
          <w:color w:val="auto"/>
          <w:sz w:val="22"/>
          <w:highlight w:val="none"/>
        </w:rPr>
        <w:t>（</w:t>
      </w:r>
      <w:r>
        <w:rPr>
          <w:rFonts w:ascii="宋体" w:hAnsi="宋体"/>
          <w:color w:val="auto"/>
          <w:sz w:val="22"/>
          <w:highlight w:val="none"/>
        </w:rPr>
        <w:t>5）《浙江省财政厅  浙江省经济和信息化委员会关于简化中小企业类别确认流程有关事项的通知》（浙财采监〔2018〕2号)</w:t>
      </w:r>
    </w:p>
    <w:p w14:paraId="2139D35A">
      <w:pPr>
        <w:spacing w:line="440" w:lineRule="atLeast"/>
        <w:jc w:val="left"/>
        <w:rPr>
          <w:rFonts w:ascii="宋体" w:hAnsi="宋体"/>
          <w:color w:val="auto"/>
          <w:sz w:val="22"/>
          <w:highlight w:val="none"/>
        </w:rPr>
      </w:pPr>
      <w:r>
        <w:rPr>
          <w:rFonts w:ascii="宋体" w:hAnsi="宋体"/>
          <w:color w:val="auto"/>
          <w:sz w:val="22"/>
          <w:highlight w:val="none"/>
        </w:rPr>
        <w:t xml:space="preserve">2.   </w:t>
      </w:r>
      <w:r>
        <w:rPr>
          <w:rFonts w:hint="eastAsia" w:ascii="宋体" w:hAnsi="宋体"/>
          <w:color w:val="auto"/>
          <w:sz w:val="22"/>
          <w:highlight w:val="none"/>
        </w:rPr>
        <w:t>享受小微企业价格折扣应具备的条件与价格折扣比例：</w:t>
      </w:r>
    </w:p>
    <w:p w14:paraId="6FDB3F4C">
      <w:pPr>
        <w:spacing w:line="440" w:lineRule="atLeast"/>
        <w:jc w:val="left"/>
        <w:rPr>
          <w:rFonts w:ascii="宋体" w:hAnsi="宋体"/>
          <w:b/>
          <w:color w:val="auto"/>
          <w:sz w:val="22"/>
          <w:highlight w:val="none"/>
        </w:rPr>
      </w:pPr>
      <w:r>
        <w:rPr>
          <w:rFonts w:hint="eastAsia" w:ascii="宋体" w:hAnsi="宋体"/>
          <w:b/>
          <w:color w:val="auto"/>
          <w:sz w:val="22"/>
          <w:highlight w:val="none"/>
        </w:rPr>
        <w:t>（1）符合中小企业划分标准；</w:t>
      </w:r>
    </w:p>
    <w:p w14:paraId="0CD9E316">
      <w:pPr>
        <w:spacing w:line="440" w:lineRule="atLeast"/>
        <w:jc w:val="left"/>
        <w:rPr>
          <w:rFonts w:ascii="宋体" w:hAnsi="宋体"/>
          <w:b/>
          <w:color w:val="auto"/>
          <w:sz w:val="22"/>
          <w:highlight w:val="none"/>
        </w:rPr>
      </w:pPr>
      <w:r>
        <w:rPr>
          <w:rFonts w:ascii="宋体" w:hAnsi="宋体"/>
          <w:b/>
          <w:color w:val="auto"/>
          <w:sz w:val="22"/>
          <w:highlight w:val="none"/>
        </w:rPr>
        <w:t>（</w:t>
      </w:r>
      <w:r>
        <w:rPr>
          <w:rFonts w:hint="eastAsia" w:ascii="宋体" w:hAnsi="宋体"/>
          <w:b/>
          <w:color w:val="auto"/>
          <w:sz w:val="22"/>
          <w:highlight w:val="none"/>
        </w:rPr>
        <w:t>2</w:t>
      </w:r>
      <w:r>
        <w:rPr>
          <w:rFonts w:ascii="宋体" w:hAnsi="宋体"/>
          <w:b/>
          <w:color w:val="auto"/>
          <w:sz w:val="22"/>
          <w:highlight w:val="none"/>
        </w:rPr>
        <w:t>）在货物采购项目中，货物由中小企业制造，即货物由中小企业生产且使用该中小企业商号或者注册商标；</w:t>
      </w:r>
    </w:p>
    <w:p w14:paraId="62860960">
      <w:pPr>
        <w:spacing w:line="440" w:lineRule="atLeast"/>
        <w:jc w:val="left"/>
        <w:rPr>
          <w:rFonts w:ascii="宋体" w:hAnsi="宋体"/>
          <w:b/>
          <w:color w:val="auto"/>
          <w:sz w:val="22"/>
          <w:highlight w:val="none"/>
        </w:rPr>
      </w:pPr>
      <w:r>
        <w:rPr>
          <w:rFonts w:ascii="宋体" w:hAnsi="宋体"/>
          <w:b/>
          <w:color w:val="auto"/>
          <w:sz w:val="22"/>
          <w:highlight w:val="none"/>
        </w:rPr>
        <w:t>（</w:t>
      </w:r>
      <w:r>
        <w:rPr>
          <w:rFonts w:hint="eastAsia" w:ascii="宋体" w:hAnsi="宋体"/>
          <w:b/>
          <w:color w:val="auto"/>
          <w:sz w:val="22"/>
          <w:highlight w:val="none"/>
        </w:rPr>
        <w:t>3</w:t>
      </w:r>
      <w:r>
        <w:rPr>
          <w:rFonts w:ascii="宋体" w:hAnsi="宋体"/>
          <w:b/>
          <w:color w:val="auto"/>
          <w:sz w:val="22"/>
          <w:highlight w:val="none"/>
        </w:rPr>
        <w:t>）在工程采购项目中，工程由中小企业承建，即工程施工单位为中小企业；</w:t>
      </w:r>
    </w:p>
    <w:p w14:paraId="7F212CB0">
      <w:pPr>
        <w:spacing w:line="440" w:lineRule="atLeast"/>
        <w:jc w:val="left"/>
        <w:rPr>
          <w:rFonts w:ascii="宋体" w:hAnsi="宋体"/>
          <w:b/>
          <w:color w:val="auto"/>
          <w:sz w:val="22"/>
          <w:highlight w:val="none"/>
        </w:rPr>
      </w:pPr>
      <w:r>
        <w:rPr>
          <w:rFonts w:ascii="宋体" w:hAnsi="宋体"/>
          <w:b/>
          <w:color w:val="auto"/>
          <w:sz w:val="22"/>
          <w:highlight w:val="none"/>
        </w:rPr>
        <w:t>（</w:t>
      </w:r>
      <w:r>
        <w:rPr>
          <w:rFonts w:hint="eastAsia" w:ascii="宋体" w:hAnsi="宋体"/>
          <w:b/>
          <w:color w:val="auto"/>
          <w:sz w:val="22"/>
          <w:highlight w:val="none"/>
        </w:rPr>
        <w:t>4</w:t>
      </w:r>
      <w:r>
        <w:rPr>
          <w:rFonts w:ascii="宋体" w:hAnsi="宋体"/>
          <w:b/>
          <w:color w:val="auto"/>
          <w:sz w:val="22"/>
          <w:highlight w:val="none"/>
        </w:rPr>
        <w:t>）在服务采购项目中，服务由中小企业承接，即</w:t>
      </w:r>
      <w:r>
        <w:rPr>
          <w:rFonts w:hint="eastAsia" w:ascii="宋体" w:hAnsi="宋体"/>
          <w:b/>
          <w:color w:val="auto"/>
          <w:sz w:val="22"/>
          <w:highlight w:val="none"/>
        </w:rPr>
        <w:t>提供</w:t>
      </w:r>
      <w:r>
        <w:rPr>
          <w:rFonts w:ascii="宋体" w:hAnsi="宋体"/>
          <w:b/>
          <w:color w:val="auto"/>
          <w:sz w:val="22"/>
          <w:highlight w:val="none"/>
        </w:rPr>
        <w:t>服务的人员为中小企业依照《中华人民共和国劳动合同法》订立劳动合同的从业人员。</w:t>
      </w:r>
    </w:p>
    <w:p w14:paraId="6F4AA9A7">
      <w:pPr>
        <w:spacing w:line="440" w:lineRule="atLeast"/>
        <w:jc w:val="left"/>
        <w:rPr>
          <w:rFonts w:ascii="宋体" w:hAnsi="宋体"/>
          <w:b/>
          <w:color w:val="auto"/>
          <w:sz w:val="22"/>
          <w:highlight w:val="none"/>
        </w:rPr>
      </w:pPr>
      <w:r>
        <w:rPr>
          <w:rFonts w:hint="eastAsia" w:ascii="宋体" w:hAnsi="宋体"/>
          <w:b/>
          <w:color w:val="auto"/>
          <w:sz w:val="22"/>
          <w:highlight w:val="none"/>
        </w:rPr>
        <w:t>（5）</w:t>
      </w:r>
      <w:r>
        <w:rPr>
          <w:rFonts w:ascii="宋体" w:hAnsi="宋体"/>
          <w:b/>
          <w:color w:val="auto"/>
          <w:sz w:val="22"/>
          <w:highlight w:val="none"/>
        </w:rPr>
        <w:t>在货物采购项目中，供应商提供的货物既有中小企业制造货物，也有大型企业制造货物的，不享受本办法规定的中小企业扶持政策。</w:t>
      </w:r>
    </w:p>
    <w:p w14:paraId="05F8ED01">
      <w:pPr>
        <w:spacing w:line="440" w:lineRule="atLeast"/>
        <w:jc w:val="left"/>
        <w:rPr>
          <w:rFonts w:ascii="宋体" w:hAnsi="宋体"/>
          <w:b/>
          <w:color w:val="auto"/>
          <w:sz w:val="22"/>
          <w:highlight w:val="none"/>
        </w:rPr>
      </w:pPr>
      <w:r>
        <w:rPr>
          <w:rFonts w:hint="eastAsia" w:ascii="宋体" w:hAnsi="宋体"/>
          <w:b/>
          <w:color w:val="auto"/>
          <w:sz w:val="22"/>
          <w:highlight w:val="none"/>
        </w:rPr>
        <w:t>（6）</w:t>
      </w:r>
      <w:r>
        <w:rPr>
          <w:rFonts w:ascii="宋体" w:hAnsi="宋体"/>
          <w:b/>
          <w:color w:val="auto"/>
          <w:sz w:val="22"/>
          <w:highlight w:val="none"/>
        </w:rPr>
        <w:t>以联合体形式参加政府采购活动，联合体各方均为中小企业的，联合体视同中小企业。其中，联合体各方均为小微企业的，联合体视同小微企业。</w:t>
      </w:r>
    </w:p>
    <w:p w14:paraId="26F3136E">
      <w:pPr>
        <w:spacing w:line="440" w:lineRule="atLeast"/>
        <w:jc w:val="left"/>
        <w:rPr>
          <w:rFonts w:ascii="宋体" w:hAnsi="宋体"/>
          <w:color w:val="auto"/>
          <w:sz w:val="22"/>
          <w:highlight w:val="none"/>
        </w:rPr>
      </w:pPr>
      <w:r>
        <w:rPr>
          <w:rFonts w:ascii="宋体" w:hAnsi="宋体"/>
          <w:color w:val="auto"/>
          <w:sz w:val="22"/>
          <w:highlight w:val="none"/>
        </w:rPr>
        <w:t xml:space="preserve">3.   </w:t>
      </w:r>
      <w:r>
        <w:rPr>
          <w:rFonts w:hint="eastAsia" w:ascii="宋体" w:hAnsi="宋体"/>
          <w:color w:val="auto"/>
          <w:sz w:val="22"/>
          <w:highlight w:val="none"/>
          <w:u w:val="single"/>
        </w:rPr>
        <w:t>享受小微企业价格折扣应提供以下证明材料（</w:t>
      </w:r>
      <w:r>
        <w:rPr>
          <w:rFonts w:hint="eastAsia" w:ascii="宋体" w:hAnsi="宋体"/>
          <w:color w:val="auto"/>
          <w:sz w:val="22"/>
          <w:highlight w:val="none"/>
          <w:u w:val="single"/>
          <w:lang w:val="en-US" w:eastAsia="zh-CN"/>
        </w:rPr>
        <w:t>资格</w:t>
      </w:r>
      <w:r>
        <w:rPr>
          <w:rFonts w:hint="eastAsia" w:ascii="宋体" w:hAnsi="宋体"/>
          <w:color w:val="auto"/>
          <w:sz w:val="22"/>
          <w:highlight w:val="none"/>
          <w:u w:val="single"/>
        </w:rPr>
        <w:t>文件中）</w:t>
      </w:r>
      <w:r>
        <w:rPr>
          <w:rFonts w:hint="eastAsia" w:ascii="宋体" w:hAnsi="宋体"/>
          <w:color w:val="auto"/>
          <w:sz w:val="22"/>
          <w:highlight w:val="none"/>
        </w:rPr>
        <w:t>：</w:t>
      </w:r>
    </w:p>
    <w:p w14:paraId="2B11CE0E">
      <w:pPr>
        <w:spacing w:line="440" w:lineRule="exact"/>
        <w:ind w:firstLine="440" w:firstLineChars="200"/>
        <w:jc w:val="left"/>
        <w:rPr>
          <w:rFonts w:ascii="宋体" w:hAnsi="宋体"/>
          <w:color w:val="auto"/>
          <w:sz w:val="22"/>
          <w:highlight w:val="none"/>
        </w:rPr>
      </w:pPr>
      <w:r>
        <w:rPr>
          <w:rFonts w:hint="eastAsia" w:ascii="宋体" w:hAnsi="宋体"/>
          <w:color w:val="auto"/>
          <w:sz w:val="22"/>
          <w:highlight w:val="none"/>
        </w:rPr>
        <w:t>《中小企业声明函》（加盖供应商公章，格式见附件1）</w:t>
      </w:r>
    </w:p>
    <w:p w14:paraId="019708CE">
      <w:pPr>
        <w:spacing w:line="440" w:lineRule="atLeast"/>
        <w:ind w:left="550" w:hanging="550" w:hangingChars="250"/>
        <w:jc w:val="left"/>
        <w:rPr>
          <w:rFonts w:ascii="宋体" w:hAnsi="宋体"/>
          <w:color w:val="auto"/>
          <w:sz w:val="22"/>
          <w:highlight w:val="none"/>
        </w:rPr>
      </w:pPr>
      <w:r>
        <w:rPr>
          <w:rFonts w:ascii="宋体" w:hAnsi="宋体"/>
          <w:color w:val="auto"/>
          <w:sz w:val="22"/>
          <w:highlight w:val="none"/>
        </w:rPr>
        <w:t>4</w:t>
      </w:r>
      <w:r>
        <w:rPr>
          <w:rFonts w:hint="eastAsia" w:ascii="宋体" w:hAnsi="宋体"/>
          <w:color w:val="auto"/>
          <w:sz w:val="22"/>
          <w:highlight w:val="none"/>
        </w:rPr>
        <w:t>.   享受监狱企业价格折扣应提供以下证明材料（</w:t>
      </w:r>
      <w:r>
        <w:rPr>
          <w:rFonts w:hint="eastAsia" w:ascii="宋体" w:hAnsi="宋体"/>
          <w:color w:val="auto"/>
          <w:sz w:val="22"/>
          <w:highlight w:val="none"/>
          <w:u w:val="single"/>
          <w:lang w:val="en-US" w:eastAsia="zh-CN"/>
        </w:rPr>
        <w:t>资格</w:t>
      </w:r>
      <w:r>
        <w:rPr>
          <w:rFonts w:hint="eastAsia" w:ascii="宋体" w:hAnsi="宋体"/>
          <w:color w:val="auto"/>
          <w:sz w:val="22"/>
          <w:highlight w:val="none"/>
          <w:u w:val="single"/>
        </w:rPr>
        <w:t>文件中）</w:t>
      </w:r>
      <w:r>
        <w:rPr>
          <w:rFonts w:hint="eastAsia" w:ascii="宋体" w:hAnsi="宋体"/>
          <w:color w:val="auto"/>
          <w:sz w:val="22"/>
          <w:highlight w:val="none"/>
        </w:rPr>
        <w:t>：</w:t>
      </w:r>
    </w:p>
    <w:p w14:paraId="2C53306A">
      <w:pPr>
        <w:spacing w:line="440" w:lineRule="atLeast"/>
        <w:ind w:left="550" w:hanging="550" w:hangingChars="250"/>
        <w:jc w:val="left"/>
        <w:rPr>
          <w:rFonts w:ascii="宋体" w:hAnsi="宋体"/>
          <w:color w:val="auto"/>
          <w:sz w:val="22"/>
          <w:highlight w:val="none"/>
        </w:rPr>
      </w:pPr>
      <w:r>
        <w:rPr>
          <w:rFonts w:hint="eastAsia" w:ascii="宋体" w:hAnsi="宋体"/>
          <w:color w:val="auto"/>
          <w:sz w:val="22"/>
          <w:highlight w:val="none"/>
        </w:rPr>
        <w:t>（</w:t>
      </w:r>
      <w:r>
        <w:rPr>
          <w:rFonts w:ascii="宋体" w:hAnsi="宋体"/>
          <w:color w:val="auto"/>
          <w:sz w:val="22"/>
          <w:highlight w:val="none"/>
        </w:rPr>
        <w:t>1</w:t>
      </w:r>
      <w:r>
        <w:rPr>
          <w:rFonts w:hint="eastAsia" w:ascii="宋体" w:hAnsi="宋体"/>
          <w:color w:val="auto"/>
          <w:sz w:val="22"/>
          <w:highlight w:val="none"/>
        </w:rPr>
        <w:t>）</w:t>
      </w:r>
      <w:r>
        <w:rPr>
          <w:rFonts w:ascii="宋体" w:hAnsi="宋体"/>
          <w:color w:val="auto"/>
          <w:sz w:val="22"/>
          <w:highlight w:val="none"/>
        </w:rPr>
        <w:t>监狱企业参加政府采购活动时，应当提供由省级以上监狱管理局、戒毒管理局(含新疆生产建设兵团)出具的属于监狱企业的证明文件</w:t>
      </w:r>
      <w:r>
        <w:rPr>
          <w:rFonts w:hint="eastAsia" w:ascii="宋体" w:hAnsi="宋体"/>
          <w:color w:val="auto"/>
          <w:sz w:val="22"/>
          <w:highlight w:val="none"/>
        </w:rPr>
        <w:t>（加盖供应商公章）</w:t>
      </w:r>
      <w:r>
        <w:rPr>
          <w:rFonts w:ascii="宋体" w:hAnsi="宋体"/>
          <w:color w:val="auto"/>
          <w:sz w:val="22"/>
          <w:highlight w:val="none"/>
        </w:rPr>
        <w:t>。在政府采购活动中，监狱企业视同小型、微型企业，享受评审中价格扣除政策</w:t>
      </w:r>
      <w:r>
        <w:rPr>
          <w:rFonts w:hint="eastAsia" w:ascii="宋体" w:hAnsi="宋体"/>
          <w:color w:val="auto"/>
          <w:sz w:val="22"/>
          <w:highlight w:val="none"/>
        </w:rPr>
        <w:t>。</w:t>
      </w:r>
    </w:p>
    <w:p w14:paraId="0CCB8B46">
      <w:pPr>
        <w:spacing w:line="440" w:lineRule="atLeast"/>
        <w:ind w:left="550" w:hanging="550" w:hangingChars="250"/>
        <w:jc w:val="left"/>
        <w:rPr>
          <w:rFonts w:ascii="宋体" w:hAnsi="宋体"/>
          <w:color w:val="auto"/>
          <w:sz w:val="22"/>
          <w:highlight w:val="none"/>
        </w:rPr>
      </w:pPr>
      <w:r>
        <w:rPr>
          <w:rFonts w:ascii="宋体" w:hAnsi="宋体"/>
          <w:color w:val="auto"/>
          <w:sz w:val="22"/>
          <w:highlight w:val="none"/>
        </w:rPr>
        <w:t xml:space="preserve">5.   </w:t>
      </w:r>
      <w:r>
        <w:rPr>
          <w:rFonts w:hint="eastAsia" w:ascii="宋体" w:hAnsi="宋体"/>
          <w:color w:val="auto"/>
          <w:sz w:val="22"/>
          <w:highlight w:val="none"/>
          <w:u w:val="single"/>
        </w:rPr>
        <w:t>享受残疾人福利性单位</w:t>
      </w:r>
      <w:r>
        <w:rPr>
          <w:rFonts w:hint="eastAsia" w:ascii="宋体" w:hAnsi="宋体"/>
          <w:color w:val="auto"/>
          <w:sz w:val="22"/>
          <w:highlight w:val="none"/>
          <w:u w:val="single"/>
          <w:lang w:val="en-US" w:eastAsia="zh-CN"/>
        </w:rPr>
        <w:t>价</w:t>
      </w:r>
      <w:r>
        <w:rPr>
          <w:rFonts w:hint="eastAsia" w:ascii="宋体" w:hAnsi="宋体"/>
          <w:color w:val="auto"/>
          <w:sz w:val="22"/>
          <w:highlight w:val="none"/>
          <w:u w:val="single"/>
        </w:rPr>
        <w:t>格折扣应提供以下证明材料（</w:t>
      </w:r>
      <w:r>
        <w:rPr>
          <w:rFonts w:hint="eastAsia" w:ascii="宋体" w:hAnsi="宋体"/>
          <w:color w:val="auto"/>
          <w:sz w:val="22"/>
          <w:highlight w:val="none"/>
          <w:u w:val="single"/>
          <w:lang w:val="en-US" w:eastAsia="zh-CN"/>
        </w:rPr>
        <w:t>资格</w:t>
      </w:r>
      <w:r>
        <w:rPr>
          <w:rFonts w:hint="eastAsia" w:ascii="宋体" w:hAnsi="宋体"/>
          <w:color w:val="auto"/>
          <w:sz w:val="22"/>
          <w:highlight w:val="none"/>
          <w:u w:val="single"/>
        </w:rPr>
        <w:t>文件中）</w:t>
      </w:r>
      <w:r>
        <w:rPr>
          <w:rFonts w:hint="eastAsia" w:ascii="宋体" w:hAnsi="宋体"/>
          <w:color w:val="auto"/>
          <w:sz w:val="22"/>
          <w:highlight w:val="none"/>
        </w:rPr>
        <w:t>：</w:t>
      </w:r>
    </w:p>
    <w:p w14:paraId="5352BD00">
      <w:pPr>
        <w:spacing w:line="440" w:lineRule="atLeast"/>
        <w:jc w:val="left"/>
        <w:rPr>
          <w:color w:val="auto"/>
          <w:highlight w:val="none"/>
        </w:rPr>
      </w:pPr>
      <w:r>
        <w:rPr>
          <w:rFonts w:hint="eastAsia" w:ascii="宋体" w:hAnsi="宋体"/>
          <w:color w:val="auto"/>
          <w:sz w:val="22"/>
          <w:highlight w:val="none"/>
        </w:rPr>
        <w:t>（</w:t>
      </w:r>
      <w:r>
        <w:rPr>
          <w:rFonts w:ascii="宋体" w:hAnsi="宋体"/>
          <w:color w:val="auto"/>
          <w:sz w:val="22"/>
          <w:highlight w:val="none"/>
        </w:rPr>
        <w:t>1</w:t>
      </w:r>
      <w:r>
        <w:rPr>
          <w:rFonts w:hint="eastAsia" w:ascii="宋体" w:hAnsi="宋体"/>
          <w:color w:val="auto"/>
          <w:sz w:val="22"/>
          <w:highlight w:val="none"/>
        </w:rPr>
        <w:t>）残疾人福利性单位声明函（加盖供应商公章，格式见附件2）。</w:t>
      </w:r>
    </w:p>
    <w:p w14:paraId="4673405D">
      <w:pPr>
        <w:spacing w:line="440" w:lineRule="atLeast"/>
        <w:rPr>
          <w:rFonts w:ascii="宋体" w:hAnsi="宋体"/>
          <w:color w:val="auto"/>
          <w:sz w:val="22"/>
          <w:highlight w:val="none"/>
        </w:rPr>
      </w:pPr>
      <w:r>
        <w:rPr>
          <w:rFonts w:ascii="宋体" w:hAnsi="宋体"/>
          <w:color w:val="auto"/>
          <w:sz w:val="22"/>
          <w:highlight w:val="none"/>
        </w:rPr>
        <w:br w:type="page"/>
      </w:r>
      <w:r>
        <w:rPr>
          <w:rFonts w:hint="eastAsia" w:ascii="宋体" w:hAnsi="宋体"/>
          <w:color w:val="auto"/>
          <w:sz w:val="22"/>
          <w:highlight w:val="none"/>
        </w:rPr>
        <w:t>附件1：</w:t>
      </w:r>
    </w:p>
    <w:p w14:paraId="05630D31">
      <w:pPr>
        <w:pStyle w:val="17"/>
        <w:spacing w:line="440" w:lineRule="exact"/>
        <w:jc w:val="center"/>
        <w:rPr>
          <w:rFonts w:ascii="宋体" w:hAnsi="宋体"/>
          <w:b/>
          <w:bCs/>
          <w:color w:val="auto"/>
          <w:sz w:val="24"/>
          <w:highlight w:val="none"/>
        </w:rPr>
      </w:pPr>
      <w:r>
        <w:rPr>
          <w:rFonts w:ascii="宋体" w:hAnsi="宋体"/>
          <w:b/>
          <w:bCs/>
          <w:color w:val="auto"/>
          <w:sz w:val="24"/>
          <w:highlight w:val="none"/>
        </w:rPr>
        <w:t>中小企业声明函（工程、服务）</w:t>
      </w:r>
    </w:p>
    <w:p w14:paraId="7E9803FB">
      <w:pPr>
        <w:pStyle w:val="17"/>
        <w:spacing w:before="5" w:line="440" w:lineRule="exact"/>
        <w:rPr>
          <w:rFonts w:ascii="宋体" w:hAnsi="宋体"/>
          <w:b/>
          <w:color w:val="auto"/>
          <w:sz w:val="22"/>
          <w:szCs w:val="22"/>
          <w:highlight w:val="none"/>
        </w:rPr>
      </w:pPr>
    </w:p>
    <w:p w14:paraId="1A2E77E1">
      <w:pPr>
        <w:pStyle w:val="17"/>
        <w:spacing w:line="480" w:lineRule="exact"/>
        <w:ind w:right="-1" w:firstLine="440" w:firstLineChars="200"/>
        <w:rPr>
          <w:rFonts w:ascii="宋体" w:hAnsi="宋体"/>
          <w:color w:val="auto"/>
          <w:sz w:val="22"/>
          <w:szCs w:val="22"/>
          <w:highlight w:val="none"/>
        </w:rPr>
      </w:pPr>
      <w:r>
        <w:rPr>
          <w:rFonts w:ascii="宋体" w:hAnsi="宋体"/>
          <w:color w:val="auto"/>
          <w:sz w:val="22"/>
          <w:szCs w:val="22"/>
          <w:highlight w:val="none"/>
        </w:rPr>
        <w:t>本公司（联合体）郑重声明，根据《政府采购促进中小企业发展管理办法》（财库</w:t>
      </w:r>
      <w:r>
        <w:rPr>
          <w:rFonts w:hint="eastAsia" w:ascii="宋体" w:hAnsi="宋体"/>
          <w:color w:val="auto"/>
          <w:sz w:val="22"/>
          <w:szCs w:val="22"/>
          <w:highlight w:val="none"/>
        </w:rPr>
        <w:t>﹝</w:t>
      </w:r>
      <w:r>
        <w:rPr>
          <w:rFonts w:ascii="宋体" w:hAnsi="宋体"/>
          <w:color w:val="auto"/>
          <w:sz w:val="22"/>
          <w:szCs w:val="22"/>
          <w:highlight w:val="none"/>
        </w:rPr>
        <w:t>2020</w:t>
      </w:r>
      <w:r>
        <w:rPr>
          <w:rFonts w:hint="eastAsia" w:ascii="宋体" w:hAnsi="宋体"/>
          <w:color w:val="auto"/>
          <w:sz w:val="22"/>
          <w:szCs w:val="22"/>
          <w:highlight w:val="none"/>
        </w:rPr>
        <w:t>﹞</w:t>
      </w:r>
      <w:r>
        <w:rPr>
          <w:rFonts w:ascii="宋体" w:hAnsi="宋体"/>
          <w:color w:val="auto"/>
          <w:sz w:val="22"/>
          <w:szCs w:val="22"/>
          <w:highlight w:val="none"/>
        </w:rPr>
        <w:t>46号）的规定，本公司（联合体）参加</w:t>
      </w:r>
      <w:r>
        <w:rPr>
          <w:rFonts w:ascii="宋体" w:hAnsi="宋体"/>
          <w:color w:val="auto"/>
          <w:sz w:val="22"/>
          <w:szCs w:val="22"/>
          <w:highlight w:val="none"/>
          <w:u w:val="single"/>
        </w:rPr>
        <w:t>（单位名称）</w:t>
      </w:r>
      <w:r>
        <w:rPr>
          <w:rFonts w:ascii="宋体" w:hAnsi="宋体"/>
          <w:color w:val="auto"/>
          <w:sz w:val="22"/>
          <w:szCs w:val="22"/>
          <w:highlight w:val="none"/>
        </w:rPr>
        <w:t>的</w:t>
      </w:r>
      <w:r>
        <w:rPr>
          <w:rFonts w:ascii="宋体" w:hAnsi="宋体"/>
          <w:color w:val="auto"/>
          <w:sz w:val="22"/>
          <w:szCs w:val="22"/>
          <w:highlight w:val="none"/>
          <w:u w:val="single"/>
        </w:rPr>
        <w:t>（项目名称）</w:t>
      </w:r>
      <w:r>
        <w:rPr>
          <w:rFonts w:ascii="宋体" w:hAnsi="宋体"/>
          <w:color w:val="auto"/>
          <w:sz w:val="22"/>
          <w:szCs w:val="22"/>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02A6E68">
      <w:pPr>
        <w:pStyle w:val="210"/>
        <w:tabs>
          <w:tab w:val="left" w:pos="1025"/>
        </w:tabs>
        <w:spacing w:line="480" w:lineRule="exact"/>
        <w:ind w:firstLine="440"/>
        <w:rPr>
          <w:rFonts w:ascii="宋体" w:hAnsi="宋体"/>
          <w:color w:val="auto"/>
          <w:sz w:val="22"/>
          <w:highlight w:val="none"/>
        </w:rPr>
      </w:pPr>
      <w:r>
        <w:rPr>
          <w:rFonts w:hint="eastAsia" w:ascii="宋体" w:hAnsi="宋体"/>
          <w:color w:val="auto"/>
          <w:sz w:val="22"/>
          <w:highlight w:val="none"/>
        </w:rPr>
        <w:t>1</w:t>
      </w:r>
      <w:r>
        <w:rPr>
          <w:rFonts w:ascii="宋体" w:hAnsi="宋体"/>
          <w:color w:val="auto"/>
          <w:sz w:val="22"/>
          <w:highlight w:val="none"/>
        </w:rPr>
        <w:t>.</w:t>
      </w:r>
      <w:r>
        <w:rPr>
          <w:rFonts w:ascii="宋体" w:hAnsi="宋体"/>
          <w:color w:val="auto"/>
          <w:sz w:val="22"/>
          <w:highlight w:val="none"/>
          <w:u w:val="single"/>
        </w:rPr>
        <w:t>（标的名称）</w:t>
      </w:r>
      <w:r>
        <w:rPr>
          <w:rFonts w:ascii="宋体" w:hAnsi="宋体"/>
          <w:color w:val="auto"/>
          <w:sz w:val="22"/>
          <w:highlight w:val="none"/>
        </w:rPr>
        <w:t>，属于（</w:t>
      </w:r>
      <w:r>
        <w:rPr>
          <w:rFonts w:ascii="宋体" w:hAnsi="宋体"/>
          <w:color w:val="auto"/>
          <w:sz w:val="22"/>
          <w:highlight w:val="none"/>
          <w:u w:val="single"/>
        </w:rPr>
        <w:t>采购文件中明确的所属行业</w:t>
      </w:r>
      <w:r>
        <w:rPr>
          <w:rFonts w:ascii="宋体" w:hAnsi="宋体"/>
          <w:color w:val="auto"/>
          <w:sz w:val="22"/>
          <w:highlight w:val="none"/>
        </w:rPr>
        <w:t>）；承建（承接）企业为</w:t>
      </w:r>
      <w:r>
        <w:rPr>
          <w:rFonts w:ascii="宋体" w:hAnsi="宋体"/>
          <w:color w:val="auto"/>
          <w:sz w:val="22"/>
          <w:highlight w:val="none"/>
          <w:u w:val="single"/>
        </w:rPr>
        <w:t>（企业名称）</w:t>
      </w:r>
      <w:r>
        <w:rPr>
          <w:rFonts w:ascii="宋体" w:hAnsi="宋体"/>
          <w:color w:val="auto"/>
          <w:sz w:val="22"/>
          <w:highlight w:val="none"/>
        </w:rPr>
        <w:t>，从业人员</w:t>
      </w:r>
      <w:r>
        <w:rPr>
          <w:rFonts w:ascii="宋体" w:hAnsi="宋体"/>
          <w:color w:val="auto"/>
          <w:sz w:val="22"/>
          <w:highlight w:val="none"/>
          <w:u w:val="single"/>
        </w:rPr>
        <w:t xml:space="preserve">  </w:t>
      </w:r>
      <w:r>
        <w:rPr>
          <w:rFonts w:ascii="宋体" w:hAnsi="宋体"/>
          <w:color w:val="auto"/>
          <w:sz w:val="22"/>
          <w:highlight w:val="none"/>
          <w:u w:val="single"/>
        </w:rPr>
        <w:tab/>
      </w:r>
      <w:r>
        <w:rPr>
          <w:rFonts w:ascii="宋体" w:hAnsi="宋体"/>
          <w:color w:val="auto"/>
          <w:sz w:val="22"/>
          <w:highlight w:val="none"/>
        </w:rPr>
        <w:t>人，营业收入为</w:t>
      </w:r>
      <w:r>
        <w:rPr>
          <w:rFonts w:ascii="宋体" w:hAnsi="宋体"/>
          <w:color w:val="auto"/>
          <w:sz w:val="22"/>
          <w:highlight w:val="none"/>
          <w:u w:val="single"/>
        </w:rPr>
        <w:t xml:space="preserve"> </w:t>
      </w:r>
      <w:r>
        <w:rPr>
          <w:rFonts w:ascii="宋体" w:hAnsi="宋体"/>
          <w:color w:val="auto"/>
          <w:sz w:val="22"/>
          <w:highlight w:val="none"/>
          <w:u w:val="single"/>
        </w:rPr>
        <w:tab/>
      </w:r>
      <w:r>
        <w:rPr>
          <w:rFonts w:ascii="宋体" w:hAnsi="宋体"/>
          <w:color w:val="auto"/>
          <w:sz w:val="22"/>
          <w:highlight w:val="none"/>
        </w:rPr>
        <w:t>万元，资产总额为</w:t>
      </w:r>
      <w:r>
        <w:rPr>
          <w:rFonts w:ascii="宋体" w:hAnsi="宋体"/>
          <w:color w:val="auto"/>
          <w:sz w:val="22"/>
          <w:highlight w:val="none"/>
          <w:u w:val="single"/>
        </w:rPr>
        <w:t xml:space="preserve"> </w:t>
      </w:r>
      <w:r>
        <w:rPr>
          <w:rFonts w:ascii="宋体" w:hAnsi="宋体"/>
          <w:color w:val="auto"/>
          <w:sz w:val="22"/>
          <w:highlight w:val="none"/>
          <w:u w:val="single"/>
        </w:rPr>
        <w:tab/>
      </w:r>
      <w:r>
        <w:rPr>
          <w:rFonts w:ascii="宋体" w:hAnsi="宋体"/>
          <w:color w:val="auto"/>
          <w:sz w:val="22"/>
          <w:highlight w:val="none"/>
        </w:rPr>
        <w:t>万元，属于</w:t>
      </w:r>
      <w:r>
        <w:rPr>
          <w:rFonts w:ascii="宋体" w:hAnsi="宋体"/>
          <w:color w:val="auto"/>
          <w:sz w:val="22"/>
          <w:highlight w:val="none"/>
          <w:u w:val="single"/>
        </w:rPr>
        <w:t>（中型企业、小型企业、微型企业）</w:t>
      </w:r>
      <w:r>
        <w:rPr>
          <w:rFonts w:ascii="宋体" w:hAnsi="宋体"/>
          <w:color w:val="auto"/>
          <w:sz w:val="22"/>
          <w:highlight w:val="none"/>
        </w:rPr>
        <w:t>；</w:t>
      </w:r>
    </w:p>
    <w:p w14:paraId="4ED32F8A">
      <w:pPr>
        <w:pStyle w:val="210"/>
        <w:tabs>
          <w:tab w:val="left" w:pos="1243"/>
          <w:tab w:val="left" w:pos="1806"/>
          <w:tab w:val="left" w:pos="5005"/>
          <w:tab w:val="left" w:pos="7213"/>
        </w:tabs>
        <w:spacing w:line="480" w:lineRule="exact"/>
        <w:ind w:right="258" w:firstLine="440"/>
        <w:rPr>
          <w:rFonts w:ascii="宋体" w:hAnsi="宋体"/>
          <w:color w:val="auto"/>
          <w:sz w:val="22"/>
          <w:highlight w:val="none"/>
        </w:rPr>
      </w:pPr>
      <w:r>
        <w:rPr>
          <w:rFonts w:hint="eastAsia" w:ascii="宋体" w:hAnsi="宋体"/>
          <w:color w:val="auto"/>
          <w:sz w:val="22"/>
          <w:highlight w:val="none"/>
        </w:rPr>
        <w:t>2</w:t>
      </w:r>
      <w:r>
        <w:rPr>
          <w:rFonts w:ascii="宋体" w:hAnsi="宋体"/>
          <w:color w:val="auto"/>
          <w:sz w:val="22"/>
          <w:highlight w:val="none"/>
        </w:rPr>
        <w:t>.</w:t>
      </w:r>
      <w:r>
        <w:rPr>
          <w:rFonts w:ascii="宋体" w:hAnsi="宋体"/>
          <w:color w:val="auto"/>
          <w:sz w:val="22"/>
          <w:highlight w:val="none"/>
          <w:u w:val="single"/>
        </w:rPr>
        <w:t>（标的名称）</w:t>
      </w:r>
      <w:r>
        <w:rPr>
          <w:rFonts w:ascii="宋体" w:hAnsi="宋体"/>
          <w:color w:val="auto"/>
          <w:sz w:val="22"/>
          <w:highlight w:val="none"/>
        </w:rPr>
        <w:t>，属于</w:t>
      </w:r>
      <w:r>
        <w:rPr>
          <w:rFonts w:ascii="宋体" w:hAnsi="宋体"/>
          <w:color w:val="auto"/>
          <w:sz w:val="22"/>
          <w:highlight w:val="none"/>
          <w:u w:val="single"/>
        </w:rPr>
        <w:t>（采购文件中明确的所属行业）</w:t>
      </w:r>
      <w:r>
        <w:rPr>
          <w:rFonts w:ascii="宋体" w:hAnsi="宋体"/>
          <w:color w:val="auto"/>
          <w:sz w:val="22"/>
          <w:highlight w:val="none"/>
        </w:rPr>
        <w:t>；承建（承接）企业为</w:t>
      </w:r>
      <w:r>
        <w:rPr>
          <w:rFonts w:ascii="宋体" w:hAnsi="宋体"/>
          <w:color w:val="auto"/>
          <w:sz w:val="22"/>
          <w:highlight w:val="none"/>
          <w:u w:val="single"/>
        </w:rPr>
        <w:t>（企业名称）</w:t>
      </w:r>
      <w:r>
        <w:rPr>
          <w:rFonts w:ascii="宋体" w:hAnsi="宋体"/>
          <w:color w:val="auto"/>
          <w:sz w:val="22"/>
          <w:highlight w:val="none"/>
        </w:rPr>
        <w:t>，从业人员</w:t>
      </w:r>
      <w:r>
        <w:rPr>
          <w:rFonts w:ascii="宋体" w:hAnsi="宋体"/>
          <w:color w:val="auto"/>
          <w:sz w:val="22"/>
          <w:highlight w:val="none"/>
          <w:u w:val="single"/>
        </w:rPr>
        <w:t xml:space="preserve"> </w:t>
      </w:r>
      <w:r>
        <w:rPr>
          <w:rFonts w:ascii="宋体" w:hAnsi="宋体"/>
          <w:color w:val="auto"/>
          <w:sz w:val="22"/>
          <w:highlight w:val="none"/>
          <w:u w:val="single"/>
        </w:rPr>
        <w:tab/>
      </w:r>
      <w:r>
        <w:rPr>
          <w:rFonts w:ascii="宋体" w:hAnsi="宋体"/>
          <w:color w:val="auto"/>
          <w:sz w:val="22"/>
          <w:highlight w:val="none"/>
        </w:rPr>
        <w:t>人，营业收入为</w:t>
      </w:r>
      <w:r>
        <w:rPr>
          <w:rFonts w:ascii="宋体" w:hAnsi="宋体"/>
          <w:color w:val="auto"/>
          <w:sz w:val="22"/>
          <w:highlight w:val="none"/>
          <w:u w:val="single"/>
        </w:rPr>
        <w:t xml:space="preserve"> </w:t>
      </w:r>
      <w:r>
        <w:rPr>
          <w:rFonts w:hint="eastAsia" w:ascii="宋体" w:hAnsi="宋体"/>
          <w:color w:val="auto"/>
          <w:sz w:val="22"/>
          <w:highlight w:val="none"/>
          <w:u w:val="single"/>
        </w:rPr>
        <w:t xml:space="preserve">  </w:t>
      </w:r>
      <w:r>
        <w:rPr>
          <w:rFonts w:ascii="宋体" w:hAnsi="宋体"/>
          <w:color w:val="auto"/>
          <w:sz w:val="22"/>
          <w:highlight w:val="none"/>
        </w:rPr>
        <w:t>万元，资产总额为</w:t>
      </w:r>
      <w:r>
        <w:rPr>
          <w:rFonts w:ascii="宋体" w:hAnsi="宋体"/>
          <w:color w:val="auto"/>
          <w:sz w:val="22"/>
          <w:highlight w:val="none"/>
          <w:u w:val="single"/>
        </w:rPr>
        <w:t xml:space="preserve">    </w:t>
      </w:r>
      <w:r>
        <w:rPr>
          <w:rFonts w:ascii="宋体" w:hAnsi="宋体"/>
          <w:color w:val="auto"/>
          <w:sz w:val="22"/>
          <w:highlight w:val="none"/>
        </w:rPr>
        <w:t>万元，属于</w:t>
      </w:r>
      <w:r>
        <w:rPr>
          <w:rFonts w:ascii="宋体" w:hAnsi="宋体"/>
          <w:color w:val="auto"/>
          <w:sz w:val="22"/>
          <w:highlight w:val="none"/>
          <w:u w:val="single"/>
        </w:rPr>
        <w:t>（中型企业、小型企业、微型企业）</w:t>
      </w:r>
      <w:r>
        <w:rPr>
          <w:rFonts w:ascii="宋体" w:hAnsi="宋体"/>
          <w:color w:val="auto"/>
          <w:sz w:val="22"/>
          <w:highlight w:val="none"/>
        </w:rPr>
        <w:t>；</w:t>
      </w:r>
    </w:p>
    <w:p w14:paraId="2BDB7AA9">
      <w:pPr>
        <w:pStyle w:val="17"/>
        <w:spacing w:before="11" w:line="480" w:lineRule="exact"/>
        <w:ind w:left="860"/>
        <w:rPr>
          <w:rFonts w:ascii="宋体" w:hAnsi="宋体"/>
          <w:color w:val="auto"/>
          <w:sz w:val="22"/>
          <w:szCs w:val="22"/>
          <w:highlight w:val="none"/>
        </w:rPr>
      </w:pPr>
      <w:r>
        <w:rPr>
          <w:rFonts w:ascii="宋体" w:hAnsi="宋体"/>
          <w:color w:val="auto"/>
          <w:sz w:val="22"/>
          <w:szCs w:val="22"/>
          <w:highlight w:val="none"/>
        </w:rPr>
        <w:t>……</w:t>
      </w:r>
    </w:p>
    <w:p w14:paraId="432CEBFC">
      <w:pPr>
        <w:pStyle w:val="17"/>
        <w:spacing w:before="108" w:line="480" w:lineRule="exact"/>
        <w:ind w:right="417" w:firstLine="645"/>
        <w:rPr>
          <w:rFonts w:ascii="宋体" w:hAnsi="宋体"/>
          <w:color w:val="auto"/>
          <w:sz w:val="22"/>
          <w:szCs w:val="22"/>
          <w:highlight w:val="none"/>
        </w:rPr>
      </w:pPr>
      <w:r>
        <w:rPr>
          <w:rFonts w:ascii="宋体" w:hAnsi="宋体"/>
          <w:color w:val="auto"/>
          <w:sz w:val="22"/>
          <w:szCs w:val="22"/>
          <w:highlight w:val="none"/>
        </w:rPr>
        <w:t>以上企业，不属于大企业的分支机构，不存在控股股东为大企业的情形，也不存在与大企业的负责人为同一人的情形。</w:t>
      </w:r>
    </w:p>
    <w:p w14:paraId="14BBAAFF">
      <w:pPr>
        <w:pStyle w:val="17"/>
        <w:spacing w:line="480" w:lineRule="exact"/>
        <w:ind w:right="375" w:firstLine="860"/>
        <w:rPr>
          <w:rFonts w:ascii="宋体" w:hAnsi="宋体"/>
          <w:color w:val="auto"/>
          <w:sz w:val="22"/>
          <w:szCs w:val="22"/>
          <w:highlight w:val="none"/>
        </w:rPr>
      </w:pPr>
      <w:r>
        <w:rPr>
          <w:rFonts w:ascii="宋体" w:hAnsi="宋体"/>
          <w:color w:val="auto"/>
          <w:sz w:val="22"/>
          <w:szCs w:val="22"/>
          <w:highlight w:val="none"/>
        </w:rPr>
        <w:t>本企业对上述声明内容的真实性负责。如有虚假，将依法承担相应责任。</w:t>
      </w:r>
    </w:p>
    <w:p w14:paraId="4061B2C7">
      <w:pPr>
        <w:pStyle w:val="17"/>
        <w:spacing w:before="29" w:line="480" w:lineRule="exact"/>
        <w:ind w:left="4060" w:right="2166"/>
        <w:rPr>
          <w:rFonts w:ascii="宋体" w:hAnsi="宋体"/>
          <w:color w:val="auto"/>
          <w:sz w:val="22"/>
          <w:szCs w:val="22"/>
          <w:highlight w:val="none"/>
        </w:rPr>
      </w:pPr>
    </w:p>
    <w:p w14:paraId="4BE676E9">
      <w:pPr>
        <w:pStyle w:val="17"/>
        <w:spacing w:before="29" w:line="480" w:lineRule="exact"/>
        <w:ind w:left="4060" w:right="2166"/>
        <w:rPr>
          <w:rFonts w:ascii="宋体" w:hAnsi="宋体"/>
          <w:color w:val="auto"/>
          <w:sz w:val="22"/>
          <w:szCs w:val="22"/>
          <w:highlight w:val="none"/>
        </w:rPr>
      </w:pPr>
      <w:r>
        <w:rPr>
          <w:rFonts w:ascii="宋体" w:hAnsi="宋体"/>
          <w:color w:val="auto"/>
          <w:sz w:val="22"/>
          <w:szCs w:val="22"/>
          <w:highlight w:val="none"/>
        </w:rPr>
        <w:t>企业名称（盖章）：</w:t>
      </w:r>
    </w:p>
    <w:p w14:paraId="2AAF4BB9">
      <w:pPr>
        <w:pStyle w:val="17"/>
        <w:spacing w:before="29" w:line="480" w:lineRule="exact"/>
        <w:ind w:left="4060" w:right="2166"/>
        <w:rPr>
          <w:rFonts w:ascii="宋体" w:hAnsi="宋体"/>
          <w:color w:val="auto"/>
          <w:sz w:val="22"/>
          <w:szCs w:val="22"/>
          <w:highlight w:val="none"/>
        </w:rPr>
      </w:pPr>
      <w:r>
        <w:rPr>
          <w:rFonts w:ascii="宋体" w:hAnsi="宋体"/>
          <w:color w:val="auto"/>
          <w:sz w:val="22"/>
          <w:szCs w:val="22"/>
          <w:highlight w:val="none"/>
        </w:rPr>
        <w:t>日期：</w:t>
      </w:r>
    </w:p>
    <w:p w14:paraId="141DC61B">
      <w:pPr>
        <w:pStyle w:val="35"/>
        <w:shd w:val="clear" w:color="auto" w:fill="FFFFFF"/>
        <w:spacing w:before="0" w:beforeAutospacing="0" w:after="240" w:afterAutospacing="0" w:line="480" w:lineRule="exact"/>
        <w:rPr>
          <w:rFonts w:ascii="Arial" w:hAnsi="Arial" w:cs="Arial"/>
          <w:color w:val="auto"/>
          <w:sz w:val="22"/>
          <w:szCs w:val="22"/>
          <w:highlight w:val="none"/>
        </w:rPr>
      </w:pPr>
    </w:p>
    <w:p w14:paraId="0EAB6F3B">
      <w:pPr>
        <w:pStyle w:val="35"/>
        <w:shd w:val="clear" w:color="auto" w:fill="FFFFFF"/>
        <w:spacing w:before="0" w:beforeAutospacing="0" w:after="240" w:afterAutospacing="0" w:line="480" w:lineRule="exact"/>
        <w:rPr>
          <w:rFonts w:ascii="Arial" w:hAnsi="Arial" w:cs="Arial"/>
          <w:color w:val="auto"/>
          <w:szCs w:val="21"/>
          <w:highlight w:val="none"/>
        </w:rPr>
      </w:pPr>
    </w:p>
    <w:p w14:paraId="225B5E12">
      <w:pPr>
        <w:pStyle w:val="35"/>
        <w:shd w:val="clear" w:color="auto" w:fill="FFFFFF"/>
        <w:spacing w:before="0" w:beforeAutospacing="0" w:after="240" w:afterAutospacing="0" w:line="480" w:lineRule="exact"/>
        <w:rPr>
          <w:rFonts w:ascii="Arial" w:hAnsi="Arial" w:cs="Arial"/>
          <w:color w:val="auto"/>
          <w:szCs w:val="21"/>
          <w:highlight w:val="none"/>
        </w:rPr>
      </w:pPr>
    </w:p>
    <w:p w14:paraId="277DC299">
      <w:pPr>
        <w:spacing w:line="440" w:lineRule="exact"/>
        <w:rPr>
          <w:rFonts w:hint="eastAsia" w:ascii="宋体" w:hAnsi="宋体"/>
          <w:color w:val="auto"/>
          <w:highlight w:val="none"/>
        </w:rPr>
      </w:pPr>
      <w:r>
        <w:rPr>
          <w:rFonts w:hint="eastAsia" w:ascii="宋体" w:hAnsi="宋体"/>
          <w:color w:val="auto"/>
          <w:highlight w:val="none"/>
        </w:rPr>
        <w:t>说明：</w:t>
      </w:r>
    </w:p>
    <w:p w14:paraId="24DB2F63">
      <w:pPr>
        <w:spacing w:line="440" w:lineRule="exact"/>
        <w:rPr>
          <w:rFonts w:ascii="宋体" w:hAnsi="宋体"/>
          <w:color w:val="auto"/>
          <w:highlight w:val="none"/>
        </w:rPr>
      </w:pPr>
      <w:r>
        <w:rPr>
          <w:rFonts w:hint="eastAsia" w:ascii="宋体" w:hAnsi="宋体"/>
          <w:color w:val="auto"/>
          <w:highlight w:val="none"/>
        </w:rPr>
        <w:t>从业人员、营业收入、资产总额填报上一年度数据，无上一年度数据的新成立企业可不填报。</w:t>
      </w:r>
    </w:p>
    <w:p w14:paraId="6495629C">
      <w:pPr>
        <w:spacing w:line="440" w:lineRule="exact"/>
        <w:rPr>
          <w:rFonts w:ascii="宋体" w:hAnsi="宋体"/>
          <w:color w:val="auto"/>
          <w:highlight w:val="none"/>
        </w:rPr>
      </w:pPr>
    </w:p>
    <w:p w14:paraId="5B227925">
      <w:pPr>
        <w:pStyle w:val="17"/>
        <w:rPr>
          <w:rFonts w:ascii="宋体" w:hAnsi="宋体"/>
          <w:color w:val="auto"/>
          <w:highlight w:val="none"/>
        </w:rPr>
      </w:pPr>
    </w:p>
    <w:p w14:paraId="312C60B4">
      <w:pPr>
        <w:pStyle w:val="55"/>
        <w:rPr>
          <w:color w:val="auto"/>
          <w:highlight w:val="none"/>
        </w:rPr>
      </w:pPr>
    </w:p>
    <w:p w14:paraId="3D3D5C72">
      <w:pPr>
        <w:spacing w:line="440" w:lineRule="exact"/>
        <w:rPr>
          <w:rFonts w:ascii="宋体" w:hAnsi="宋体"/>
          <w:color w:val="auto"/>
          <w:sz w:val="22"/>
          <w:highlight w:val="none"/>
        </w:rPr>
      </w:pPr>
      <w:r>
        <w:rPr>
          <w:rFonts w:ascii="宋体" w:hAnsi="宋体"/>
          <w:b/>
          <w:bCs/>
          <w:color w:val="auto"/>
          <w:sz w:val="24"/>
          <w:highlight w:val="none"/>
        </w:rPr>
        <w:br w:type="page"/>
      </w:r>
      <w:r>
        <w:rPr>
          <w:rFonts w:hint="eastAsia" w:ascii="宋体" w:hAnsi="宋体"/>
          <w:color w:val="auto"/>
          <w:sz w:val="22"/>
          <w:highlight w:val="none"/>
        </w:rPr>
        <w:t>附件2：</w:t>
      </w:r>
    </w:p>
    <w:p w14:paraId="47528A56">
      <w:pPr>
        <w:spacing w:line="380" w:lineRule="exact"/>
        <w:jc w:val="center"/>
        <w:rPr>
          <w:rFonts w:ascii="宋体" w:hAnsi="宋体" w:cs="宋体"/>
          <w:b/>
          <w:color w:val="auto"/>
          <w:sz w:val="24"/>
          <w:highlight w:val="none"/>
        </w:rPr>
      </w:pPr>
      <w:r>
        <w:rPr>
          <w:rFonts w:hint="eastAsia" w:ascii="宋体" w:hAnsi="宋体" w:cs="宋体"/>
          <w:b/>
          <w:color w:val="auto"/>
          <w:sz w:val="24"/>
          <w:highlight w:val="none"/>
        </w:rPr>
        <w:t>残疾人福利性单位声明函</w:t>
      </w:r>
    </w:p>
    <w:p w14:paraId="1BF290A8">
      <w:pPr>
        <w:spacing w:line="588" w:lineRule="exact"/>
        <w:rPr>
          <w:rFonts w:ascii="新宋体" w:hAnsi="新宋体" w:eastAsia="新宋体"/>
          <w:b/>
          <w:color w:val="auto"/>
          <w:spacing w:val="6"/>
          <w:sz w:val="30"/>
          <w:szCs w:val="30"/>
          <w:highlight w:val="none"/>
        </w:rPr>
      </w:pPr>
    </w:p>
    <w:p w14:paraId="151D94D0">
      <w:pPr>
        <w:spacing w:line="588"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s="宋体"/>
          <w:color w:val="auto"/>
          <w:sz w:val="22"/>
          <w:szCs w:val="22"/>
          <w:highlight w:val="none"/>
          <w:u w:val="single"/>
        </w:rPr>
        <w:t xml:space="preserve"> </w:t>
      </w:r>
      <w:r>
        <w:rPr>
          <w:rFonts w:ascii="宋体" w:hAnsi="宋体" w:cs="宋体"/>
          <w:color w:val="auto"/>
          <w:sz w:val="22"/>
          <w:szCs w:val="22"/>
          <w:highlight w:val="none"/>
          <w:u w:val="single"/>
        </w:rPr>
        <w:t xml:space="preserve">    </w:t>
      </w:r>
      <w:r>
        <w:rPr>
          <w:rFonts w:hint="eastAsia" w:ascii="宋体" w:hAnsi="宋体" w:cs="宋体"/>
          <w:color w:val="auto"/>
          <w:sz w:val="22"/>
          <w:szCs w:val="22"/>
          <w:highlight w:val="none"/>
        </w:rPr>
        <w:t>单位的</w:t>
      </w:r>
      <w:r>
        <w:rPr>
          <w:rFonts w:hint="eastAsia" w:ascii="宋体" w:hAnsi="宋体" w:cs="宋体"/>
          <w:color w:val="auto"/>
          <w:sz w:val="22"/>
          <w:szCs w:val="22"/>
          <w:highlight w:val="none"/>
          <w:u w:val="single"/>
        </w:rPr>
        <w:t xml:space="preserve"> </w:t>
      </w:r>
      <w:r>
        <w:rPr>
          <w:rFonts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项目（编号：</w:t>
      </w:r>
      <w:r>
        <w:rPr>
          <w:rFonts w:ascii="宋体" w:hAnsi="宋体"/>
          <w:color w:val="auto"/>
          <w:highlight w:val="none"/>
          <w:u w:val="single"/>
        </w:rPr>
        <w:tab/>
      </w:r>
      <w:r>
        <w:rPr>
          <w:rFonts w:ascii="宋体" w:hAnsi="宋体"/>
          <w:color w:val="auto"/>
          <w:highlight w:val="none"/>
          <w:u w:val="single"/>
        </w:rPr>
        <w:t xml:space="preserve">  </w:t>
      </w:r>
      <w:r>
        <w:rPr>
          <w:rFonts w:hint="eastAsia" w:ascii="宋体" w:hAnsi="宋体" w:cs="宋体"/>
          <w:color w:val="auto"/>
          <w:sz w:val="22"/>
          <w:szCs w:val="22"/>
          <w:highlight w:val="none"/>
        </w:rPr>
        <w:t>）采购活动提供本单位制造的货物，或者提供其他残疾人福利性单位制造的货物（不包括使用非残疾人福利性单位注册商标的货物）。</w:t>
      </w:r>
    </w:p>
    <w:p w14:paraId="063AD572">
      <w:pPr>
        <w:spacing w:line="588"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本单位对上述声明的真实性负责。如有虚假，将依法承担相应责任。</w:t>
      </w:r>
    </w:p>
    <w:p w14:paraId="18C2A6A4">
      <w:pPr>
        <w:spacing w:line="588" w:lineRule="exact"/>
        <w:ind w:firstLine="440" w:firstLineChars="200"/>
        <w:rPr>
          <w:rFonts w:ascii="宋体" w:hAnsi="宋体" w:cs="宋体"/>
          <w:color w:val="auto"/>
          <w:sz w:val="22"/>
          <w:szCs w:val="22"/>
          <w:highlight w:val="none"/>
        </w:rPr>
      </w:pPr>
    </w:p>
    <w:p w14:paraId="3E6CCD00">
      <w:pPr>
        <w:spacing w:line="588" w:lineRule="exact"/>
        <w:ind w:firstLine="440" w:firstLineChars="200"/>
        <w:rPr>
          <w:rFonts w:ascii="宋体" w:hAnsi="宋体" w:cs="宋体"/>
          <w:color w:val="auto"/>
          <w:sz w:val="22"/>
          <w:szCs w:val="22"/>
          <w:highlight w:val="none"/>
        </w:rPr>
      </w:pPr>
    </w:p>
    <w:p w14:paraId="436AB1B6">
      <w:pPr>
        <w:tabs>
          <w:tab w:val="left" w:pos="4860"/>
        </w:tabs>
        <w:spacing w:line="588" w:lineRule="exact"/>
        <w:ind w:right="1560" w:firstLine="440" w:firstLineChars="200"/>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供应商名称（盖章）：</w:t>
      </w:r>
    </w:p>
    <w:p w14:paraId="00142E8A">
      <w:pPr>
        <w:widowControl/>
        <w:adjustRightInd w:val="0"/>
        <w:snapToGrid w:val="0"/>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 xml:space="preserve">        日  期：    年  月  日</w:t>
      </w:r>
    </w:p>
    <w:p w14:paraId="03A5A5F4">
      <w:pPr>
        <w:pStyle w:val="17"/>
        <w:rPr>
          <w:color w:val="auto"/>
          <w:highlight w:val="none"/>
        </w:rPr>
      </w:pPr>
    </w:p>
    <w:p w14:paraId="1A81559F">
      <w:pPr>
        <w:pStyle w:val="17"/>
        <w:rPr>
          <w:color w:val="auto"/>
          <w:highlight w:val="none"/>
        </w:rPr>
      </w:pPr>
    </w:p>
    <w:p w14:paraId="2A074AED">
      <w:pPr>
        <w:spacing w:line="588" w:lineRule="exact"/>
        <w:rPr>
          <w:rFonts w:ascii="宋体" w:hAnsi="宋体" w:cs="宋体"/>
          <w:color w:val="auto"/>
          <w:sz w:val="22"/>
          <w:szCs w:val="22"/>
          <w:highlight w:val="none"/>
        </w:rPr>
      </w:pPr>
      <w:r>
        <w:rPr>
          <w:rFonts w:hint="eastAsia" w:ascii="宋体" w:hAnsi="宋体" w:cs="宋体"/>
          <w:color w:val="auto"/>
          <w:sz w:val="22"/>
          <w:szCs w:val="22"/>
          <w:highlight w:val="none"/>
        </w:rPr>
        <w:t>备注说明：</w:t>
      </w:r>
    </w:p>
    <w:p w14:paraId="6C89FFE4">
      <w:pPr>
        <w:spacing w:line="588"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1、如中标，将在中标公告中将此残疾人福利性单位声明函予以公示，接受社会监督；</w:t>
      </w:r>
    </w:p>
    <w:p w14:paraId="158F3D16">
      <w:pPr>
        <w:spacing w:line="588" w:lineRule="exact"/>
        <w:ind w:firstLine="440" w:firstLineChars="200"/>
        <w:rPr>
          <w:rFonts w:ascii="宋体" w:hAnsi="宋体" w:cs="宋体"/>
          <w:color w:val="auto"/>
          <w:sz w:val="22"/>
          <w:szCs w:val="22"/>
          <w:highlight w:val="none"/>
        </w:rPr>
      </w:pPr>
      <w:r>
        <w:rPr>
          <w:rFonts w:ascii="宋体" w:hAnsi="宋体" w:cs="宋体"/>
          <w:color w:val="auto"/>
          <w:sz w:val="22"/>
          <w:szCs w:val="22"/>
          <w:highlight w:val="none"/>
        </w:rPr>
        <w:t>2</w:t>
      </w:r>
      <w:r>
        <w:rPr>
          <w:rFonts w:hint="eastAsia" w:ascii="宋体" w:hAnsi="宋体" w:cs="宋体"/>
          <w:color w:val="auto"/>
          <w:sz w:val="22"/>
          <w:szCs w:val="22"/>
          <w:highlight w:val="none"/>
        </w:rPr>
        <w:t>、供应商提供的《残疾人福利性单位声明函》与事实不符的，依照《政府采购法》第七十七条第一款的规定追究法律责任。</w:t>
      </w:r>
    </w:p>
    <w:p w14:paraId="5E5B90AF">
      <w:pPr>
        <w:spacing w:line="420" w:lineRule="exact"/>
        <w:rPr>
          <w:color w:val="auto"/>
          <w:highlight w:val="none"/>
        </w:rPr>
      </w:pPr>
    </w:p>
    <w:p w14:paraId="4352FE8E">
      <w:pPr>
        <w:pStyle w:val="17"/>
        <w:rPr>
          <w:color w:val="auto"/>
          <w:highlight w:val="none"/>
        </w:rPr>
      </w:pPr>
    </w:p>
    <w:p w14:paraId="43FA823F">
      <w:pPr>
        <w:pStyle w:val="17"/>
        <w:rPr>
          <w:color w:val="auto"/>
          <w:highlight w:val="none"/>
        </w:rPr>
      </w:pPr>
    </w:p>
    <w:p w14:paraId="1BD3536F">
      <w:pPr>
        <w:spacing w:line="440" w:lineRule="exact"/>
        <w:rPr>
          <w:rFonts w:ascii="宋体" w:hAnsi="宋体" w:cs="宋体"/>
          <w:b/>
          <w:color w:val="auto"/>
          <w:sz w:val="24"/>
          <w:highlight w:val="none"/>
        </w:rPr>
      </w:pPr>
    </w:p>
    <w:p w14:paraId="18938EE4">
      <w:pPr>
        <w:pStyle w:val="17"/>
        <w:rPr>
          <w:color w:val="auto"/>
          <w:highlight w:val="none"/>
        </w:rPr>
      </w:pPr>
    </w:p>
    <w:p w14:paraId="4F2E5ECB">
      <w:pPr>
        <w:pStyle w:val="17"/>
        <w:rPr>
          <w:color w:val="auto"/>
          <w:highlight w:val="none"/>
        </w:rPr>
      </w:pPr>
    </w:p>
    <w:p w14:paraId="6923136B">
      <w:pPr>
        <w:pStyle w:val="17"/>
        <w:rPr>
          <w:color w:val="auto"/>
          <w:highlight w:val="none"/>
        </w:rPr>
      </w:pPr>
    </w:p>
    <w:p w14:paraId="7E476867">
      <w:pPr>
        <w:pStyle w:val="17"/>
        <w:rPr>
          <w:color w:val="auto"/>
          <w:highlight w:val="none"/>
        </w:rPr>
      </w:pPr>
    </w:p>
    <w:p w14:paraId="09C09C7C">
      <w:pPr>
        <w:pStyle w:val="17"/>
        <w:rPr>
          <w:color w:val="auto"/>
          <w:highlight w:val="none"/>
        </w:rPr>
      </w:pPr>
    </w:p>
    <w:p w14:paraId="138C75DA">
      <w:pPr>
        <w:pStyle w:val="17"/>
        <w:rPr>
          <w:color w:val="auto"/>
          <w:highlight w:val="none"/>
        </w:rPr>
      </w:pPr>
    </w:p>
    <w:p w14:paraId="1BF1012D">
      <w:pPr>
        <w:pStyle w:val="2"/>
        <w:spacing w:line="600" w:lineRule="exact"/>
        <w:jc w:val="center"/>
        <w:rPr>
          <w:rFonts w:ascii="黑体" w:hAnsi="黑体" w:eastAsia="黑体"/>
          <w:bCs/>
          <w:color w:val="auto"/>
          <w:sz w:val="36"/>
          <w:szCs w:val="36"/>
          <w:highlight w:val="none"/>
        </w:rPr>
      </w:pPr>
      <w:r>
        <w:rPr>
          <w:rFonts w:ascii="宋体" w:hAnsi="宋体" w:cs="宋体"/>
          <w:b/>
          <w:color w:val="auto"/>
          <w:sz w:val="24"/>
          <w:highlight w:val="none"/>
        </w:rPr>
        <w:br w:type="page"/>
      </w:r>
      <w:bookmarkEnd w:id="175"/>
      <w:bookmarkEnd w:id="183"/>
      <w:bookmarkStart w:id="194" w:name="_Toc230773793"/>
      <w:bookmarkStart w:id="195" w:name="_Toc27287"/>
      <w:r>
        <w:rPr>
          <w:rFonts w:hint="eastAsia" w:ascii="黑体" w:hAnsi="黑体" w:eastAsia="黑体"/>
          <w:bCs/>
          <w:color w:val="auto"/>
          <w:sz w:val="36"/>
          <w:szCs w:val="36"/>
          <w:highlight w:val="none"/>
        </w:rPr>
        <w:t>第五部分  招标内容及要求</w:t>
      </w:r>
      <w:bookmarkEnd w:id="194"/>
      <w:bookmarkEnd w:id="195"/>
    </w:p>
    <w:p w14:paraId="126C8510">
      <w:pPr>
        <w:pStyle w:val="3"/>
        <w:spacing w:line="680" w:lineRule="exact"/>
        <w:jc w:val="center"/>
        <w:rPr>
          <w:rFonts w:ascii="宋体" w:hAnsi="宋体" w:eastAsia="宋体"/>
          <w:color w:val="auto"/>
          <w:sz w:val="28"/>
          <w:szCs w:val="28"/>
          <w:highlight w:val="none"/>
        </w:rPr>
      </w:pPr>
      <w:bookmarkStart w:id="196" w:name="_Toc498696426"/>
      <w:bookmarkStart w:id="197" w:name="_Toc24304"/>
      <w:bookmarkStart w:id="198" w:name="_Toc524273187"/>
      <w:bookmarkStart w:id="199" w:name="_Toc7107"/>
      <w:bookmarkStart w:id="200" w:name="_Toc10174"/>
      <w:bookmarkStart w:id="201" w:name="_Toc23272"/>
      <w:bookmarkStart w:id="202" w:name="_Toc230773795"/>
      <w:r>
        <w:rPr>
          <w:rFonts w:hint="eastAsia" w:ascii="宋体" w:hAnsi="宋体" w:eastAsia="宋体"/>
          <w:color w:val="auto"/>
          <w:sz w:val="28"/>
          <w:szCs w:val="28"/>
          <w:highlight w:val="none"/>
        </w:rPr>
        <w:t>一、</w:t>
      </w:r>
      <w:bookmarkEnd w:id="196"/>
      <w:r>
        <w:rPr>
          <w:rFonts w:hint="eastAsia" w:ascii="宋体" w:hAnsi="宋体" w:eastAsia="宋体"/>
          <w:color w:val="auto"/>
          <w:sz w:val="28"/>
          <w:szCs w:val="28"/>
          <w:highlight w:val="none"/>
        </w:rPr>
        <w:t>相关说明</w:t>
      </w:r>
      <w:bookmarkEnd w:id="197"/>
      <w:bookmarkEnd w:id="198"/>
      <w:bookmarkEnd w:id="199"/>
      <w:bookmarkEnd w:id="200"/>
    </w:p>
    <w:bookmarkEnd w:id="201"/>
    <w:p w14:paraId="3E77DBBB">
      <w:pPr>
        <w:spacing w:line="440" w:lineRule="exact"/>
        <w:ind w:left="550" w:hanging="550" w:hangingChars="250"/>
        <w:rPr>
          <w:rFonts w:hint="eastAsia" w:ascii="宋体" w:hAnsi="宋体" w:cs="宋体"/>
          <w:color w:val="auto"/>
          <w:sz w:val="22"/>
          <w:szCs w:val="22"/>
          <w:highlight w:val="none"/>
          <w:lang w:val="en-US" w:eastAsia="zh-CN"/>
        </w:rPr>
      </w:pPr>
      <w:bookmarkStart w:id="203" w:name="_Toc56694061"/>
      <w:r>
        <w:rPr>
          <w:rFonts w:hint="eastAsia" w:ascii="宋体" w:hAnsi="宋体" w:cs="宋体"/>
          <w:color w:val="auto"/>
          <w:sz w:val="22"/>
          <w:szCs w:val="22"/>
          <w:highlight w:val="none"/>
        </w:rPr>
        <w:t xml:space="preserve">1.   </w:t>
      </w:r>
      <w:r>
        <w:rPr>
          <w:rFonts w:hint="eastAsia" w:ascii="宋体" w:hAnsi="宋体" w:cs="宋体"/>
          <w:color w:val="auto"/>
          <w:sz w:val="22"/>
          <w:szCs w:val="22"/>
          <w:highlight w:val="none"/>
          <w:lang w:val="en-US" w:eastAsia="zh-CN"/>
        </w:rPr>
        <w:t>浙江安防职业技术学院与哈萨克斯坦职业院校合作共建中外学院项目，是在第二届中国—中亚峰会召开，中国同中亚国家共建“一带一路”走深走实背景下提出的。在中国与“一带一路”相关国家签署高等教育学历学位互认协议，形成文化、教育等领域多元互动的人文交流格局下，浙江安防职业技术学院与哈萨克斯坦职业院校合作共建中外学院项目将是一个民心相通，为共建“一带一路”注入持续活力的鲜活案例。这将有力推动职业教育共同体建设，加强双、多边人文交流，培养哈萨克斯坦经济社会发展需要的、知华友华的优秀青年技术技能人才。</w:t>
      </w:r>
    </w:p>
    <w:p w14:paraId="5A4C9518">
      <w:pPr>
        <w:spacing w:line="440" w:lineRule="exact"/>
        <w:ind w:left="550" w:hanging="550" w:hangingChars="25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lang w:val="en-US" w:eastAsia="zh-CN"/>
        </w:rPr>
        <w:t>本项目服务目标包括：</w:t>
      </w:r>
    </w:p>
    <w:p w14:paraId="2D32310A">
      <w:pPr>
        <w:spacing w:line="440" w:lineRule="exact"/>
        <w:ind w:left="547" w:leftChars="208" w:hanging="110" w:hangingChars="5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（1）促进技能人才培养：结合中国先进的职业教育体系和当地产业需求，联合培养高素质技术技能人才，助力哈萨克斯坦国家工业化进程，同时为中国企业“走出去”提供本土化人才支持。</w:t>
      </w:r>
    </w:p>
    <w:p w14:paraId="709238E2">
      <w:pPr>
        <w:spacing w:line="440" w:lineRule="exact"/>
        <w:ind w:left="547" w:leftChars="208" w:hanging="110" w:hangingChars="5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（2）推动教育资源共享：中方院校输出优质课程、师资和实训标准，哈萨克斯坦院校则贡献本土经验，形成优势互补，提升区域职业教育整体水平。</w:t>
      </w:r>
    </w:p>
    <w:p w14:paraId="4C0A4A8B">
      <w:pPr>
        <w:spacing w:line="440" w:lineRule="exact"/>
        <w:ind w:left="547" w:leftChars="208" w:hanging="110" w:hangingChars="5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（3）深化经贸与人文交流：教育合作将加强民心相通，为“一带一路”项目落地奠定社会基础，同时促进技术标准互通，推动跨境产业协作。</w:t>
      </w:r>
    </w:p>
    <w:p w14:paraId="0019D743">
      <w:pPr>
        <w:spacing w:line="440" w:lineRule="exact"/>
        <w:ind w:left="547" w:leftChars="208" w:hanging="110" w:hangingChars="5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（4）服务区域经济发展：定向培养技术人才，助力当地经济可持续发展，实现互利共赢。</w:t>
      </w:r>
    </w:p>
    <w:p w14:paraId="15959278">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   履约时间：签订合同之日起</w:t>
      </w:r>
      <w:r>
        <w:rPr>
          <w:rFonts w:hint="eastAsia" w:ascii="宋体" w:hAnsi="宋体" w:cs="宋体"/>
          <w:color w:val="auto"/>
          <w:sz w:val="22"/>
          <w:szCs w:val="22"/>
          <w:highlight w:val="none"/>
          <w:lang w:val="en-US" w:eastAsia="zh-CN"/>
        </w:rPr>
        <w:t>至2025年12月</w:t>
      </w:r>
      <w:r>
        <w:rPr>
          <w:rFonts w:hint="eastAsia" w:ascii="宋体" w:hAnsi="宋体" w:cs="宋体"/>
          <w:color w:val="auto"/>
          <w:sz w:val="22"/>
          <w:szCs w:val="22"/>
          <w:highlight w:val="none"/>
        </w:rPr>
        <w:t>。</w:t>
      </w:r>
    </w:p>
    <w:p w14:paraId="52499EC0">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   履约地点：项目服务相关地点</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范围为哈萨克斯坦主要城市阿斯塔纳、阿拉木图的公办院校</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w:t>
      </w:r>
    </w:p>
    <w:p w14:paraId="461A1905">
      <w:pPr>
        <w:spacing w:line="440" w:lineRule="exact"/>
        <w:ind w:left="539" w:hanging="539" w:hangingChars="245"/>
        <w:rPr>
          <w:rFonts w:ascii="宋体" w:hAnsi="宋体" w:cs="宋体"/>
          <w:b/>
          <w:color w:val="auto"/>
          <w:sz w:val="22"/>
          <w:szCs w:val="22"/>
          <w:highlight w:val="none"/>
        </w:rPr>
      </w:pP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w:t>
      </w:r>
      <w:r>
        <w:rPr>
          <w:rFonts w:hint="eastAsia" w:ascii="宋体" w:hAnsi="宋体" w:cs="宋体"/>
          <w:b/>
          <w:bCs/>
          <w:color w:val="auto"/>
          <w:sz w:val="22"/>
          <w:szCs w:val="22"/>
          <w:highlight w:val="none"/>
          <w:u w:val="single"/>
        </w:rPr>
        <w:t>本项目采购预算为人民币</w:t>
      </w:r>
      <w:r>
        <w:rPr>
          <w:rFonts w:hint="eastAsia" w:ascii="宋体" w:hAnsi="宋体" w:cs="宋体"/>
          <w:b/>
          <w:bCs/>
          <w:color w:val="auto"/>
          <w:sz w:val="22"/>
          <w:szCs w:val="22"/>
          <w:highlight w:val="none"/>
          <w:u w:val="single"/>
          <w:lang w:val="en-US" w:eastAsia="zh-CN"/>
        </w:rPr>
        <w:t>壹佰万</w:t>
      </w:r>
      <w:r>
        <w:rPr>
          <w:rFonts w:hint="eastAsia" w:ascii="宋体" w:hAnsi="宋体" w:cs="宋体"/>
          <w:b/>
          <w:bCs/>
          <w:color w:val="auto"/>
          <w:sz w:val="22"/>
          <w:szCs w:val="22"/>
          <w:highlight w:val="none"/>
          <w:u w:val="single"/>
        </w:rPr>
        <w:t>元整（￥</w:t>
      </w:r>
      <w:r>
        <w:rPr>
          <w:rFonts w:hint="eastAsia" w:ascii="宋体" w:hAnsi="宋体" w:cs="宋体"/>
          <w:b/>
          <w:bCs/>
          <w:color w:val="auto"/>
          <w:sz w:val="22"/>
          <w:szCs w:val="22"/>
          <w:highlight w:val="none"/>
          <w:u w:val="single"/>
          <w:lang w:val="en-US" w:eastAsia="zh-CN"/>
        </w:rPr>
        <w:t>1000000</w:t>
      </w:r>
      <w:r>
        <w:rPr>
          <w:rFonts w:hint="eastAsia" w:ascii="宋体" w:hAnsi="宋体" w:cs="宋体"/>
          <w:b/>
          <w:bCs/>
          <w:color w:val="auto"/>
          <w:sz w:val="22"/>
          <w:szCs w:val="22"/>
          <w:highlight w:val="none"/>
          <w:u w:val="single"/>
        </w:rPr>
        <w:t>.00元），投标人最后报价超过预算的，按无效标处理。</w:t>
      </w:r>
    </w:p>
    <w:p w14:paraId="1CB99523">
      <w:pPr>
        <w:pStyle w:val="3"/>
        <w:spacing w:line="680" w:lineRule="exact"/>
        <w:jc w:val="center"/>
        <w:rPr>
          <w:rFonts w:ascii="宋体" w:hAnsi="宋体" w:cs="宋体"/>
          <w:color w:val="auto"/>
          <w:sz w:val="22"/>
          <w:szCs w:val="28"/>
          <w:highlight w:val="none"/>
        </w:rPr>
      </w:pPr>
      <w:bookmarkStart w:id="204" w:name="_Toc26147"/>
      <w:bookmarkStart w:id="205" w:name="_Toc20424"/>
      <w:bookmarkStart w:id="206" w:name="_Toc26768"/>
      <w:bookmarkStart w:id="207" w:name="_Toc10580"/>
      <w:r>
        <w:rPr>
          <w:rFonts w:hint="eastAsia" w:ascii="宋体" w:hAnsi="宋体" w:cs="宋体"/>
          <w:color w:val="auto"/>
          <w:sz w:val="22"/>
          <w:szCs w:val="28"/>
          <w:highlight w:val="none"/>
        </w:rPr>
        <w:t>二、</w:t>
      </w:r>
      <w:r>
        <w:rPr>
          <w:rFonts w:hint="eastAsia" w:ascii="宋体" w:hAnsi="宋体" w:eastAsia="宋体"/>
          <w:color w:val="auto"/>
          <w:sz w:val="28"/>
          <w:szCs w:val="28"/>
          <w:highlight w:val="none"/>
        </w:rPr>
        <w:t>采购内容及要求</w:t>
      </w:r>
      <w:bookmarkEnd w:id="204"/>
      <w:bookmarkEnd w:id="205"/>
      <w:bookmarkEnd w:id="206"/>
      <w:bookmarkEnd w:id="207"/>
    </w:p>
    <w:bookmarkEnd w:id="203"/>
    <w:p w14:paraId="0CC5826F">
      <w:pPr>
        <w:pStyle w:val="17"/>
        <w:keepNext w:val="0"/>
        <w:keepLines w:val="0"/>
        <w:pageBreakBefore w:val="0"/>
        <w:widowControl w:val="0"/>
        <w:tabs>
          <w:tab w:val="left" w:pos="567"/>
        </w:tabs>
        <w:kinsoku/>
        <w:wordWrap/>
        <w:overflowPunct/>
        <w:topLinePunct w:val="0"/>
        <w:autoSpaceDE w:val="0"/>
        <w:autoSpaceDN w:val="0"/>
        <w:bidi w:val="0"/>
        <w:adjustRightInd/>
        <w:snapToGrid/>
        <w:spacing w:before="0" w:after="0" w:line="440" w:lineRule="exact"/>
        <w:textAlignment w:val="auto"/>
        <w:rPr>
          <w:rFonts w:hint="eastAsia" w:ascii="宋体" w:hAnsi="宋体" w:eastAsia="宋体" w:cs="宋体"/>
          <w:b/>
          <w:bCs/>
          <w:color w:val="auto"/>
          <w:kern w:val="2"/>
          <w:sz w:val="22"/>
          <w:szCs w:val="22"/>
          <w:highlight w:val="none"/>
        </w:rPr>
      </w:pPr>
      <w:r>
        <w:rPr>
          <w:rFonts w:hint="eastAsia" w:ascii="宋体" w:hAnsi="宋体" w:cs="宋体"/>
          <w:color w:val="auto"/>
          <w:sz w:val="22"/>
          <w:szCs w:val="22"/>
          <w:highlight w:val="none"/>
        </w:rPr>
        <w:t xml:space="preserve">1.   </w:t>
      </w:r>
      <w:r>
        <w:rPr>
          <w:rFonts w:hint="eastAsia" w:ascii="宋体" w:hAnsi="宋体" w:eastAsia="宋体" w:cs="宋体"/>
          <w:b/>
          <w:bCs/>
          <w:color w:val="auto"/>
          <w:kern w:val="2"/>
          <w:sz w:val="22"/>
          <w:szCs w:val="22"/>
          <w:highlight w:val="none"/>
        </w:rPr>
        <w:t>项目主要服务内容</w:t>
      </w:r>
    </w:p>
    <w:p w14:paraId="7861E8B3">
      <w:pPr>
        <w:keepNext w:val="0"/>
        <w:keepLines w:val="0"/>
        <w:pageBreakBefore w:val="0"/>
        <w:widowControl w:val="0"/>
        <w:kinsoku/>
        <w:wordWrap/>
        <w:overflowPunct/>
        <w:topLinePunct w:val="0"/>
        <w:autoSpaceDE w:val="0"/>
        <w:autoSpaceDN w:val="0"/>
        <w:bidi w:val="0"/>
        <w:adjustRightInd/>
        <w:snapToGrid/>
        <w:spacing w:line="440" w:lineRule="exact"/>
        <w:ind w:left="550" w:hanging="550" w:hangingChars="250"/>
        <w:textAlignment w:val="auto"/>
        <w:rPr>
          <w:rFonts w:hint="eastAsia" w:ascii="宋体" w:hAnsi="宋体" w:eastAsia="宋体" w:cs="宋体"/>
          <w:bCs/>
          <w:color w:val="auto"/>
          <w:sz w:val="22"/>
          <w:szCs w:val="22"/>
          <w:highlight w:val="none"/>
          <w:lang w:val="en-US" w:eastAsia="zh-CN" w:bidi="ar-SA"/>
        </w:rPr>
      </w:pPr>
      <w:r>
        <w:rPr>
          <w:rFonts w:hint="eastAsia" w:ascii="宋体" w:hAnsi="宋体" w:eastAsia="宋体" w:cs="宋体"/>
          <w:bCs/>
          <w:color w:val="auto"/>
          <w:sz w:val="22"/>
          <w:szCs w:val="22"/>
          <w:highlight w:val="none"/>
          <w:lang w:val="en-US" w:eastAsia="zh-CN" w:bidi="ar-SA"/>
        </w:rPr>
        <w:t xml:space="preserve">1.1  </w:t>
      </w:r>
      <w:r>
        <w:rPr>
          <w:rFonts w:hint="eastAsia"/>
          <w:color w:val="auto"/>
        </w:rPr>
        <w:t>积极落实中国－中亚峰会习总书记重要指示精神以及教育部职业教育“走出去”的相关要求，制定年度工作目标与实施方案，科学合理谋划，开展可持续发展的中外职业教育示范项目；</w:t>
      </w:r>
    </w:p>
    <w:p w14:paraId="735B3BD9">
      <w:pPr>
        <w:keepNext w:val="0"/>
        <w:keepLines w:val="0"/>
        <w:pageBreakBefore w:val="0"/>
        <w:widowControl w:val="0"/>
        <w:kinsoku/>
        <w:wordWrap/>
        <w:overflowPunct/>
        <w:topLinePunct w:val="0"/>
        <w:autoSpaceDE w:val="0"/>
        <w:autoSpaceDN w:val="0"/>
        <w:bidi w:val="0"/>
        <w:adjustRightInd/>
        <w:snapToGrid/>
        <w:spacing w:line="440" w:lineRule="exact"/>
        <w:ind w:left="550" w:hanging="550" w:hangingChars="250"/>
        <w:jc w:val="both"/>
        <w:textAlignment w:val="auto"/>
        <w:rPr>
          <w:rFonts w:hint="eastAsia" w:ascii="宋体" w:hAnsi="宋体" w:eastAsia="宋体" w:cs="宋体"/>
          <w:bCs/>
          <w:color w:val="auto"/>
          <w:sz w:val="22"/>
          <w:szCs w:val="22"/>
          <w:highlight w:val="none"/>
          <w:lang w:val="en-US" w:eastAsia="zh-CN" w:bidi="ar-SA"/>
        </w:rPr>
      </w:pPr>
      <w:r>
        <w:rPr>
          <w:rFonts w:hint="eastAsia" w:ascii="宋体" w:hAnsi="宋体" w:eastAsia="宋体" w:cs="宋体"/>
          <w:bCs/>
          <w:color w:val="auto"/>
          <w:sz w:val="22"/>
          <w:szCs w:val="22"/>
          <w:highlight w:val="none"/>
          <w:lang w:val="en-US" w:eastAsia="zh-CN" w:bidi="ar-SA"/>
        </w:rPr>
        <w:t>1.2  推动浙江安防职业技术学院与</w:t>
      </w:r>
      <w:r>
        <w:rPr>
          <w:rFonts w:hint="eastAsia" w:ascii="宋体" w:hAnsi="宋体" w:cs="宋体"/>
          <w:bCs/>
          <w:color w:val="auto"/>
          <w:sz w:val="22"/>
          <w:szCs w:val="22"/>
          <w:highlight w:val="none"/>
          <w:lang w:val="en-US" w:eastAsia="zh-CN" w:bidi="ar-SA"/>
        </w:rPr>
        <w:t>哈萨克斯坦</w:t>
      </w:r>
      <w:r>
        <w:rPr>
          <w:rFonts w:hint="eastAsia" w:ascii="宋体" w:hAnsi="宋体" w:eastAsia="宋体" w:cs="宋体"/>
          <w:bCs/>
          <w:color w:val="auto"/>
          <w:sz w:val="22"/>
          <w:szCs w:val="22"/>
          <w:highlight w:val="none"/>
          <w:lang w:val="en-US" w:eastAsia="zh-CN" w:bidi="ar-SA"/>
        </w:rPr>
        <w:t>职业院校共商合作事宜，</w:t>
      </w:r>
      <w:r>
        <w:rPr>
          <w:rFonts w:hint="eastAsia"/>
          <w:color w:val="auto"/>
        </w:rPr>
        <w:t>助力共建</w:t>
      </w:r>
      <w:r>
        <w:rPr>
          <w:rFonts w:hint="eastAsia"/>
          <w:color w:val="auto"/>
          <w:lang w:eastAsia="zh-CN"/>
        </w:rPr>
        <w:t>一所“一带一路”丝路学院</w:t>
      </w:r>
      <w:r>
        <w:rPr>
          <w:rFonts w:hint="eastAsia" w:ascii="宋体" w:hAnsi="宋体" w:eastAsia="宋体" w:cs="宋体"/>
          <w:bCs/>
          <w:color w:val="auto"/>
          <w:sz w:val="22"/>
          <w:szCs w:val="22"/>
          <w:highlight w:val="none"/>
          <w:lang w:val="en-US" w:eastAsia="zh-CN" w:bidi="ar-SA"/>
        </w:rPr>
        <w:t>，在</w:t>
      </w:r>
      <w:r>
        <w:rPr>
          <w:rFonts w:hint="eastAsia" w:ascii="宋体" w:hAnsi="宋体" w:cs="宋体"/>
          <w:bCs/>
          <w:color w:val="auto"/>
          <w:sz w:val="22"/>
          <w:szCs w:val="22"/>
          <w:highlight w:val="none"/>
          <w:lang w:val="en-US" w:eastAsia="zh-CN" w:bidi="ar-SA"/>
        </w:rPr>
        <w:t>哈萨克斯坦</w:t>
      </w:r>
      <w:r>
        <w:rPr>
          <w:rFonts w:hint="eastAsia" w:ascii="宋体" w:hAnsi="宋体" w:eastAsia="宋体" w:cs="宋体"/>
          <w:bCs/>
          <w:color w:val="auto"/>
          <w:sz w:val="22"/>
          <w:szCs w:val="22"/>
          <w:highlight w:val="none"/>
          <w:lang w:val="en-US" w:eastAsia="zh-CN" w:bidi="ar-SA"/>
        </w:rPr>
        <w:t>的合作学校和实践基地举行合作项目签约仪式和揭牌仪式</w:t>
      </w:r>
      <w:r>
        <w:rPr>
          <w:rFonts w:hint="eastAsia" w:ascii="宋体" w:hAnsi="宋体" w:cs="宋体"/>
          <w:bCs/>
          <w:color w:val="auto"/>
          <w:sz w:val="22"/>
          <w:szCs w:val="22"/>
          <w:highlight w:val="none"/>
          <w:lang w:val="en-US" w:eastAsia="zh-CN" w:bidi="ar-SA"/>
        </w:rPr>
        <w:t>，仪式费用由中标人承担</w:t>
      </w:r>
      <w:r>
        <w:rPr>
          <w:rFonts w:hint="eastAsia" w:ascii="宋体" w:hAnsi="宋体" w:eastAsia="宋体" w:cs="宋体"/>
          <w:bCs/>
          <w:color w:val="auto"/>
          <w:sz w:val="22"/>
          <w:szCs w:val="22"/>
          <w:highlight w:val="none"/>
          <w:lang w:val="en-US" w:eastAsia="zh-CN" w:bidi="ar-SA"/>
        </w:rPr>
        <w:t>，浙江安防职业技术学院委派1-2位代表参加签约。合作学院范围为哈萨克斯坦</w:t>
      </w:r>
      <w:r>
        <w:rPr>
          <w:rFonts w:hint="eastAsia" w:ascii="宋体" w:hAnsi="宋体" w:cs="宋体"/>
          <w:bCs/>
          <w:color w:val="auto"/>
          <w:sz w:val="22"/>
          <w:szCs w:val="22"/>
          <w:highlight w:val="none"/>
          <w:lang w:val="en-US" w:eastAsia="zh-CN" w:bidi="ar-SA"/>
        </w:rPr>
        <w:t>主要城市阿斯塔纳或阿拉木图的</w:t>
      </w:r>
      <w:r>
        <w:rPr>
          <w:rFonts w:hint="eastAsia" w:ascii="宋体" w:hAnsi="宋体" w:eastAsia="宋体" w:cs="宋体"/>
          <w:bCs/>
          <w:color w:val="auto"/>
          <w:sz w:val="22"/>
          <w:szCs w:val="22"/>
          <w:highlight w:val="none"/>
          <w:lang w:val="en-US" w:eastAsia="zh-CN" w:bidi="ar-SA"/>
        </w:rPr>
        <w:t>公办院校</w:t>
      </w:r>
      <w:r>
        <w:rPr>
          <w:rFonts w:hint="eastAsia" w:ascii="宋体" w:hAnsi="宋体" w:cs="宋体"/>
          <w:bCs/>
          <w:color w:val="auto"/>
          <w:sz w:val="22"/>
          <w:szCs w:val="22"/>
          <w:highlight w:val="none"/>
          <w:lang w:val="en-US" w:eastAsia="zh-CN" w:bidi="ar-SA"/>
        </w:rPr>
        <w:t>。若</w:t>
      </w:r>
      <w:r>
        <w:rPr>
          <w:rFonts w:hint="eastAsia" w:ascii="宋体" w:hAnsi="宋体" w:cs="宋体"/>
          <w:bCs/>
          <w:color w:val="auto"/>
          <w:kern w:val="0"/>
          <w:sz w:val="22"/>
          <w:szCs w:val="22"/>
          <w:highlight w:val="none"/>
          <w:lang w:val="en-US" w:eastAsia="zh-CN"/>
        </w:rPr>
        <w:t>未完成，</w:t>
      </w:r>
      <w:r>
        <w:rPr>
          <w:rFonts w:hint="eastAsia" w:ascii="宋体" w:hAnsi="宋体" w:cs="宋体"/>
          <w:bCs/>
          <w:color w:val="auto"/>
          <w:sz w:val="22"/>
          <w:szCs w:val="22"/>
          <w:highlight w:val="none"/>
          <w:lang w:val="en-US" w:eastAsia="zh-CN" w:bidi="ar-SA"/>
        </w:rPr>
        <w:t>扣除该内容分项价格，不足10万元按10万元计</w:t>
      </w:r>
      <w:r>
        <w:rPr>
          <w:rFonts w:hint="eastAsia" w:ascii="宋体" w:hAnsi="宋体" w:cs="宋体"/>
          <w:bCs/>
          <w:color w:val="auto"/>
          <w:kern w:val="0"/>
          <w:sz w:val="22"/>
          <w:szCs w:val="22"/>
          <w:highlight w:val="none"/>
          <w:lang w:val="en-US" w:eastAsia="zh-CN"/>
        </w:rPr>
        <w:t>；</w:t>
      </w:r>
    </w:p>
    <w:p w14:paraId="3CCA86F5">
      <w:pPr>
        <w:keepNext w:val="0"/>
        <w:keepLines w:val="0"/>
        <w:pageBreakBefore w:val="0"/>
        <w:widowControl w:val="0"/>
        <w:kinsoku/>
        <w:wordWrap/>
        <w:overflowPunct/>
        <w:topLinePunct w:val="0"/>
        <w:autoSpaceDE w:val="0"/>
        <w:autoSpaceDN w:val="0"/>
        <w:bidi w:val="0"/>
        <w:adjustRightInd/>
        <w:snapToGrid/>
        <w:spacing w:line="440" w:lineRule="exact"/>
        <w:ind w:left="550" w:hanging="550" w:hangingChars="250"/>
        <w:textAlignment w:val="auto"/>
        <w:rPr>
          <w:rFonts w:hint="eastAsia" w:ascii="宋体" w:hAnsi="宋体" w:eastAsia="宋体" w:cs="宋体"/>
          <w:bCs/>
          <w:color w:val="auto"/>
          <w:sz w:val="22"/>
          <w:szCs w:val="22"/>
          <w:highlight w:val="none"/>
          <w:lang w:val="en-US" w:eastAsia="zh-CN" w:bidi="ar-SA"/>
        </w:rPr>
      </w:pPr>
      <w:r>
        <w:rPr>
          <w:rFonts w:hint="eastAsia" w:ascii="宋体" w:hAnsi="宋体" w:eastAsia="宋体" w:cs="宋体"/>
          <w:bCs/>
          <w:color w:val="auto"/>
          <w:sz w:val="22"/>
          <w:szCs w:val="22"/>
          <w:highlight w:val="none"/>
          <w:lang w:val="en-US" w:eastAsia="zh-CN" w:bidi="ar-SA"/>
        </w:rPr>
        <w:t>1.3  推动浙江安防职业技术学院与在</w:t>
      </w:r>
      <w:r>
        <w:rPr>
          <w:rFonts w:hint="eastAsia" w:ascii="宋体" w:hAnsi="宋体" w:cs="宋体"/>
          <w:bCs/>
          <w:color w:val="auto"/>
          <w:sz w:val="22"/>
          <w:szCs w:val="22"/>
          <w:highlight w:val="none"/>
          <w:lang w:val="en-US" w:eastAsia="zh-CN" w:bidi="ar-SA"/>
        </w:rPr>
        <w:t>哈萨克斯坦</w:t>
      </w:r>
      <w:r>
        <w:rPr>
          <w:rFonts w:hint="eastAsia" w:ascii="宋体" w:hAnsi="宋体" w:eastAsia="宋体" w:cs="宋体"/>
          <w:bCs/>
          <w:color w:val="auto"/>
          <w:sz w:val="22"/>
          <w:szCs w:val="22"/>
          <w:highlight w:val="none"/>
          <w:lang w:val="en-US" w:eastAsia="zh-CN" w:bidi="ar-SA"/>
        </w:rPr>
        <w:t>的</w:t>
      </w:r>
      <w:r>
        <w:rPr>
          <w:rFonts w:hint="eastAsia" w:ascii="宋体" w:hAnsi="宋体" w:cs="宋体"/>
          <w:bCs/>
          <w:color w:val="auto"/>
          <w:sz w:val="22"/>
          <w:szCs w:val="22"/>
          <w:highlight w:val="none"/>
          <w:lang w:val="en-US" w:eastAsia="zh-CN" w:bidi="ar-SA"/>
        </w:rPr>
        <w:t>中资企业入驻的</w:t>
      </w:r>
      <w:r>
        <w:rPr>
          <w:rFonts w:hint="eastAsia" w:ascii="宋体" w:hAnsi="宋体" w:eastAsia="宋体" w:cs="宋体"/>
          <w:bCs/>
          <w:color w:val="auto"/>
          <w:sz w:val="22"/>
          <w:szCs w:val="22"/>
          <w:highlight w:val="none"/>
          <w:lang w:val="en-US" w:eastAsia="zh-CN" w:bidi="ar-SA"/>
        </w:rPr>
        <w:t>工业园区建立实训基地</w:t>
      </w:r>
      <w:r>
        <w:rPr>
          <w:rFonts w:hint="eastAsia" w:ascii="宋体" w:hAnsi="宋体" w:cs="宋体"/>
          <w:bCs/>
          <w:color w:val="auto"/>
          <w:sz w:val="22"/>
          <w:szCs w:val="22"/>
          <w:highlight w:val="none"/>
          <w:lang w:val="en-US" w:eastAsia="zh-CN" w:bidi="ar-SA"/>
        </w:rPr>
        <w:t>至少一个</w:t>
      </w:r>
      <w:r>
        <w:rPr>
          <w:rFonts w:hint="eastAsia" w:ascii="宋体" w:hAnsi="宋体" w:eastAsia="宋体" w:cs="宋体"/>
          <w:bCs/>
          <w:color w:val="auto"/>
          <w:sz w:val="22"/>
          <w:szCs w:val="22"/>
          <w:highlight w:val="none"/>
          <w:lang w:val="en-US" w:eastAsia="zh-CN" w:bidi="ar-SA"/>
        </w:rPr>
        <w:t>，通过合作办学向中方企业输送符合企业需求的职业人才，本年度至少输送30名学生进入企业实习，</w:t>
      </w:r>
      <w:r>
        <w:rPr>
          <w:rFonts w:hint="eastAsia" w:ascii="宋体" w:hAnsi="宋体" w:cs="宋体"/>
          <w:bCs/>
          <w:color w:val="auto"/>
          <w:sz w:val="22"/>
          <w:szCs w:val="22"/>
          <w:highlight w:val="none"/>
          <w:lang w:val="en-US" w:eastAsia="zh-CN" w:bidi="ar-SA"/>
        </w:rPr>
        <w:t>如实习人数不足15人，视该项目无法完成，扣除该内容分项价格，不足10万元按10万元计；满15人但不到30人的，按不足数扣除每人500元</w:t>
      </w:r>
      <w:r>
        <w:rPr>
          <w:rFonts w:hint="eastAsia" w:ascii="宋体" w:hAnsi="宋体" w:eastAsia="宋体" w:cs="宋体"/>
          <w:bCs/>
          <w:color w:val="auto"/>
          <w:sz w:val="22"/>
          <w:szCs w:val="22"/>
          <w:highlight w:val="none"/>
          <w:lang w:val="en-US" w:eastAsia="zh-CN" w:bidi="ar-SA"/>
        </w:rPr>
        <w:t>；</w:t>
      </w:r>
    </w:p>
    <w:p w14:paraId="1C8141F4">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550" w:hanging="550" w:hangingChars="250"/>
        <w:jc w:val="both"/>
        <w:textAlignment w:val="auto"/>
        <w:rPr>
          <w:rFonts w:hint="default" w:ascii="宋体" w:hAnsi="宋体" w:eastAsia="宋体" w:cs="宋体"/>
          <w:color w:val="auto"/>
          <w:kern w:val="2"/>
          <w:sz w:val="22"/>
          <w:szCs w:val="22"/>
          <w:highlight w:val="none"/>
          <w:lang w:val="en-US" w:eastAsia="zh-CN"/>
        </w:rPr>
      </w:pPr>
      <w:r>
        <w:rPr>
          <w:rFonts w:hint="eastAsia" w:ascii="宋体" w:hAnsi="宋体" w:eastAsia="宋体" w:cs="宋体"/>
          <w:bCs/>
          <w:color w:val="auto"/>
          <w:sz w:val="22"/>
          <w:szCs w:val="22"/>
          <w:highlight w:val="none"/>
          <w:lang w:val="en-US" w:eastAsia="zh-CN" w:bidi="ar-SA"/>
        </w:rPr>
        <w:t>1.4  组织开展中外应用型人才联合培养项目，统筹各方资源招收外国</w:t>
      </w:r>
      <w:r>
        <w:rPr>
          <w:rFonts w:hint="eastAsia" w:ascii="宋体" w:hAnsi="宋体" w:cs="宋体"/>
          <w:bCs/>
          <w:color w:val="auto"/>
          <w:sz w:val="22"/>
          <w:szCs w:val="22"/>
          <w:highlight w:val="none"/>
          <w:lang w:val="en-US" w:eastAsia="zh-CN" w:bidi="ar-SA"/>
        </w:rPr>
        <w:t>职业院校或大学的</w:t>
      </w:r>
      <w:r>
        <w:rPr>
          <w:rFonts w:hint="eastAsia" w:ascii="宋体" w:hAnsi="宋体" w:eastAsia="宋体" w:cs="宋体"/>
          <w:bCs/>
          <w:color w:val="auto"/>
          <w:sz w:val="22"/>
          <w:szCs w:val="22"/>
          <w:highlight w:val="none"/>
          <w:lang w:val="en-US" w:eastAsia="zh-CN" w:bidi="ar-SA"/>
        </w:rPr>
        <w:t>学生到浙江安防职业技术学院学习、研学，招收学生</w:t>
      </w:r>
      <w:r>
        <w:rPr>
          <w:rFonts w:hint="eastAsia" w:ascii="宋体" w:hAnsi="宋体" w:cs="宋体"/>
          <w:bCs/>
          <w:color w:val="auto"/>
          <w:sz w:val="22"/>
          <w:szCs w:val="22"/>
          <w:highlight w:val="none"/>
          <w:lang w:val="en-US" w:eastAsia="zh-CN" w:bidi="ar-SA"/>
        </w:rPr>
        <w:t>（原则上以大学生或职业院校学生为主）</w:t>
      </w:r>
      <w:r>
        <w:rPr>
          <w:rFonts w:hint="eastAsia" w:ascii="宋体" w:hAnsi="宋体" w:eastAsia="宋体" w:cs="宋体"/>
          <w:bCs/>
          <w:color w:val="auto"/>
          <w:sz w:val="22"/>
          <w:szCs w:val="22"/>
          <w:highlight w:val="none"/>
          <w:lang w:val="en-US" w:eastAsia="zh-CN" w:bidi="ar-SA"/>
        </w:rPr>
        <w:t>人数不少于50人</w:t>
      </w:r>
      <w:r>
        <w:rPr>
          <w:rFonts w:hint="eastAsia" w:ascii="宋体" w:hAnsi="宋体" w:cs="宋体"/>
          <w:bCs/>
          <w:color w:val="auto"/>
          <w:sz w:val="22"/>
          <w:szCs w:val="22"/>
          <w:highlight w:val="none"/>
          <w:lang w:val="en-US" w:eastAsia="zh-CN" w:bidi="ar-SA"/>
        </w:rPr>
        <w:t>；如人数不足20人，视该项目无法完成，扣除该内容分项价格，不足20万元按20万元计；</w:t>
      </w:r>
      <w:r>
        <w:rPr>
          <w:rFonts w:hint="eastAsia" w:ascii="宋体" w:hAnsi="宋体" w:eastAsia="宋体" w:cs="宋体"/>
          <w:bCs/>
          <w:color w:val="auto"/>
          <w:sz w:val="22"/>
          <w:szCs w:val="22"/>
          <w:highlight w:val="none"/>
          <w:lang w:val="en-US" w:eastAsia="zh-CN" w:bidi="ar-SA"/>
        </w:rPr>
        <w:t>如人数</w:t>
      </w:r>
      <w:r>
        <w:rPr>
          <w:rFonts w:hint="eastAsia" w:ascii="宋体" w:hAnsi="宋体" w:cs="宋体"/>
          <w:bCs/>
          <w:color w:val="auto"/>
          <w:sz w:val="22"/>
          <w:szCs w:val="22"/>
          <w:highlight w:val="none"/>
          <w:lang w:val="en-US" w:eastAsia="zh-CN" w:bidi="ar-SA"/>
        </w:rPr>
        <w:t>超20人但</w:t>
      </w:r>
      <w:r>
        <w:rPr>
          <w:rFonts w:hint="eastAsia" w:ascii="宋体" w:hAnsi="宋体" w:eastAsia="宋体" w:cs="宋体"/>
          <w:bCs/>
          <w:color w:val="auto"/>
          <w:sz w:val="22"/>
          <w:szCs w:val="22"/>
          <w:highlight w:val="none"/>
          <w:lang w:val="en-US" w:eastAsia="zh-CN" w:bidi="ar-SA"/>
        </w:rPr>
        <w:t>不足50人，按缺口数扣除每人1500元；</w:t>
      </w:r>
      <w:r>
        <w:rPr>
          <w:rFonts w:hint="eastAsia" w:ascii="宋体" w:hAnsi="宋体" w:cs="宋体"/>
          <w:bCs/>
          <w:color w:val="auto"/>
          <w:sz w:val="22"/>
          <w:szCs w:val="22"/>
          <w:highlight w:val="none"/>
          <w:lang w:val="en-US" w:eastAsia="zh-CN" w:bidi="ar-SA"/>
        </w:rPr>
        <w:t>在国外产生的来华留学生宣传费、招生费、物料费等相关费用由</w:t>
      </w:r>
      <w:r>
        <w:rPr>
          <w:rFonts w:hint="eastAsia" w:ascii="宋体" w:hAnsi="宋体" w:eastAsia="宋体" w:cs="宋体"/>
          <w:bCs/>
          <w:color w:val="auto"/>
          <w:sz w:val="22"/>
          <w:szCs w:val="22"/>
          <w:highlight w:val="none"/>
          <w:lang w:val="en-US" w:eastAsia="zh-CN" w:bidi="ar-SA"/>
        </w:rPr>
        <w:t>中标人</w:t>
      </w:r>
      <w:r>
        <w:rPr>
          <w:rFonts w:hint="eastAsia" w:ascii="宋体" w:hAnsi="宋体" w:cs="宋体"/>
          <w:bCs/>
          <w:color w:val="auto"/>
          <w:sz w:val="22"/>
          <w:szCs w:val="22"/>
          <w:highlight w:val="none"/>
          <w:lang w:val="en-US" w:eastAsia="zh-CN" w:bidi="ar-SA"/>
        </w:rPr>
        <w:t>承担，留学生来华签证、机票、保险等费用</w:t>
      </w:r>
      <w:r>
        <w:rPr>
          <w:rFonts w:hint="eastAsia" w:ascii="宋体" w:hAnsi="宋体" w:eastAsia="宋体" w:cs="宋体"/>
          <w:bCs/>
          <w:color w:val="auto"/>
          <w:sz w:val="22"/>
          <w:szCs w:val="22"/>
          <w:highlight w:val="none"/>
          <w:lang w:val="en-US" w:eastAsia="zh-CN" w:bidi="ar-SA"/>
        </w:rPr>
        <w:t>由</w:t>
      </w:r>
      <w:r>
        <w:rPr>
          <w:rFonts w:hint="eastAsia" w:ascii="宋体" w:hAnsi="宋体" w:cs="宋体"/>
          <w:bCs/>
          <w:color w:val="auto"/>
          <w:sz w:val="22"/>
          <w:szCs w:val="22"/>
          <w:highlight w:val="none"/>
          <w:lang w:val="en-US" w:eastAsia="zh-CN" w:bidi="ar-SA"/>
        </w:rPr>
        <w:t>中标人和留学生所在学校协商解决。来华留学生在</w:t>
      </w:r>
      <w:r>
        <w:rPr>
          <w:rFonts w:hint="eastAsia" w:ascii="宋体" w:hAnsi="宋体" w:eastAsia="宋体" w:cs="宋体"/>
          <w:bCs/>
          <w:color w:val="auto"/>
          <w:sz w:val="22"/>
          <w:szCs w:val="22"/>
          <w:highlight w:val="none"/>
          <w:lang w:val="en-US" w:eastAsia="zh-CN" w:bidi="ar-SA"/>
        </w:rPr>
        <w:t>浙江安防职业技术学院</w:t>
      </w:r>
      <w:r>
        <w:rPr>
          <w:rFonts w:hint="eastAsia" w:ascii="宋体" w:hAnsi="宋体" w:cs="宋体"/>
          <w:bCs/>
          <w:color w:val="auto"/>
          <w:sz w:val="22"/>
          <w:szCs w:val="22"/>
          <w:highlight w:val="none"/>
          <w:lang w:val="en-US" w:eastAsia="zh-CN" w:bidi="ar-SA"/>
        </w:rPr>
        <w:t>内学习时间不少于三周。具体学习内容、课程及场地以采购人最终制定的方案为准</w:t>
      </w:r>
      <w:r>
        <w:rPr>
          <w:rFonts w:hint="eastAsia" w:ascii="宋体" w:hAnsi="宋体" w:eastAsia="宋体" w:cs="宋体"/>
          <w:color w:val="auto"/>
          <w:kern w:val="2"/>
          <w:sz w:val="22"/>
          <w:szCs w:val="22"/>
          <w:highlight w:val="none"/>
        </w:rPr>
        <w:t>；</w:t>
      </w:r>
    </w:p>
    <w:p w14:paraId="5D262ED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550" w:hanging="550" w:hangingChars="250"/>
        <w:jc w:val="both"/>
        <w:textAlignment w:val="auto"/>
        <w:rPr>
          <w:rFonts w:hint="eastAsia" w:ascii="宋体" w:hAnsi="宋体" w:eastAsia="宋体" w:cs="宋体"/>
          <w:color w:val="auto"/>
          <w:kern w:val="2"/>
          <w:sz w:val="22"/>
          <w:szCs w:val="22"/>
          <w:highlight w:val="none"/>
          <w:lang w:val="en-US" w:eastAsia="zh-CN"/>
        </w:rPr>
      </w:pPr>
      <w:r>
        <w:rPr>
          <w:rFonts w:hint="eastAsia" w:ascii="宋体" w:hAnsi="宋体" w:eastAsia="宋体" w:cs="宋体"/>
          <w:bCs/>
          <w:color w:val="auto"/>
          <w:sz w:val="22"/>
          <w:szCs w:val="22"/>
          <w:highlight w:val="none"/>
          <w:lang w:val="en-US" w:eastAsia="zh-CN" w:bidi="ar-SA"/>
        </w:rPr>
        <w:t>1.5  组织中方教师</w:t>
      </w:r>
      <w:r>
        <w:rPr>
          <w:rFonts w:hint="eastAsia" w:ascii="宋体" w:hAnsi="宋体" w:cs="宋体"/>
          <w:bCs/>
          <w:color w:val="auto"/>
          <w:sz w:val="22"/>
          <w:szCs w:val="22"/>
          <w:highlight w:val="none"/>
          <w:lang w:val="en-US" w:eastAsia="zh-CN" w:bidi="ar-SA"/>
        </w:rPr>
        <w:t>2</w:t>
      </w:r>
      <w:r>
        <w:rPr>
          <w:rFonts w:hint="eastAsia" w:ascii="宋体" w:hAnsi="宋体" w:eastAsia="宋体" w:cs="宋体"/>
          <w:bCs/>
          <w:color w:val="auto"/>
          <w:sz w:val="22"/>
          <w:szCs w:val="22"/>
          <w:highlight w:val="none"/>
          <w:lang w:val="en-US" w:eastAsia="zh-CN" w:bidi="ar-SA"/>
        </w:rPr>
        <w:t>名赴</w:t>
      </w:r>
      <w:r>
        <w:rPr>
          <w:rFonts w:hint="eastAsia" w:ascii="宋体" w:hAnsi="宋体" w:cs="宋体"/>
          <w:bCs/>
          <w:color w:val="auto"/>
          <w:sz w:val="22"/>
          <w:szCs w:val="22"/>
          <w:highlight w:val="none"/>
          <w:lang w:val="en-US" w:eastAsia="zh-CN" w:bidi="ar-SA"/>
        </w:rPr>
        <w:t>哈萨克斯坦</w:t>
      </w:r>
      <w:r>
        <w:rPr>
          <w:rFonts w:hint="eastAsia" w:ascii="宋体" w:hAnsi="宋体" w:eastAsia="宋体" w:cs="宋体"/>
          <w:bCs/>
          <w:color w:val="auto"/>
          <w:sz w:val="22"/>
          <w:szCs w:val="22"/>
          <w:highlight w:val="none"/>
          <w:lang w:val="en-US" w:eastAsia="zh-CN" w:bidi="ar-SA"/>
        </w:rPr>
        <w:t>走进合作校开展讲座，走进中方境外园区开展实训指导，培训不少于200人次</w:t>
      </w:r>
      <w:r>
        <w:rPr>
          <w:rFonts w:hint="eastAsia" w:ascii="宋体" w:hAnsi="宋体" w:cs="宋体"/>
          <w:bCs/>
          <w:color w:val="auto"/>
          <w:sz w:val="22"/>
          <w:szCs w:val="22"/>
          <w:highlight w:val="none"/>
          <w:lang w:val="en-US" w:eastAsia="zh-CN" w:bidi="ar-SA"/>
        </w:rPr>
        <w:t>，中标人须配合学校设定的授课内容实施落实</w:t>
      </w:r>
      <w:r>
        <w:rPr>
          <w:rFonts w:hint="eastAsia" w:ascii="宋体" w:hAnsi="宋体" w:eastAsia="宋体" w:cs="宋体"/>
          <w:bCs/>
          <w:color w:val="auto"/>
          <w:sz w:val="22"/>
          <w:szCs w:val="22"/>
          <w:highlight w:val="none"/>
          <w:lang w:val="en-US" w:eastAsia="zh-CN" w:bidi="ar-SA"/>
        </w:rPr>
        <w:t>。</w:t>
      </w:r>
      <w:r>
        <w:rPr>
          <w:rFonts w:hint="eastAsia"/>
          <w:color w:val="auto"/>
          <w:highlight w:val="none"/>
          <w:lang w:val="en-US" w:eastAsia="zh-CN"/>
        </w:rPr>
        <w:t>培训中所产生的场地费、物料费、翻译费等由</w:t>
      </w:r>
      <w:r>
        <w:rPr>
          <w:rFonts w:hint="eastAsia" w:ascii="宋体" w:hAnsi="宋体" w:eastAsia="宋体" w:cs="宋体"/>
          <w:bCs/>
          <w:color w:val="auto"/>
          <w:sz w:val="22"/>
          <w:szCs w:val="22"/>
          <w:highlight w:val="none"/>
          <w:lang w:val="en-US" w:eastAsia="zh-CN" w:bidi="ar-SA"/>
        </w:rPr>
        <w:t>中标人</w:t>
      </w:r>
      <w:r>
        <w:rPr>
          <w:rFonts w:hint="eastAsia"/>
          <w:color w:val="auto"/>
          <w:highlight w:val="none"/>
          <w:lang w:val="en-US" w:eastAsia="zh-CN"/>
        </w:rPr>
        <w:t>承担。协助</w:t>
      </w:r>
      <w:r>
        <w:rPr>
          <w:rFonts w:hint="eastAsia" w:ascii="宋体" w:hAnsi="宋体" w:cs="宋体"/>
          <w:bCs/>
          <w:color w:val="auto"/>
          <w:sz w:val="22"/>
          <w:szCs w:val="22"/>
          <w:highlight w:val="none"/>
          <w:lang w:val="en-US" w:eastAsia="zh-CN" w:bidi="ar-SA"/>
        </w:rPr>
        <w:t>每名老师完成</w:t>
      </w:r>
      <w:r>
        <w:rPr>
          <w:rFonts w:hint="eastAsia" w:ascii="宋体" w:hAnsi="宋体" w:eastAsia="宋体" w:cs="宋体"/>
          <w:bCs/>
          <w:color w:val="auto"/>
          <w:sz w:val="22"/>
          <w:szCs w:val="22"/>
          <w:highlight w:val="none"/>
          <w:lang w:val="en-US" w:eastAsia="zh-CN" w:bidi="ar-SA"/>
        </w:rPr>
        <w:t>讲课课时不少于1</w:t>
      </w:r>
      <w:r>
        <w:rPr>
          <w:rFonts w:hint="eastAsia" w:ascii="宋体" w:hAnsi="宋体" w:cs="宋体"/>
          <w:bCs/>
          <w:color w:val="auto"/>
          <w:sz w:val="22"/>
          <w:szCs w:val="22"/>
          <w:highlight w:val="none"/>
          <w:lang w:val="en-US" w:eastAsia="zh-CN" w:bidi="ar-SA"/>
        </w:rPr>
        <w:t>5</w:t>
      </w:r>
      <w:r>
        <w:rPr>
          <w:rFonts w:hint="eastAsia" w:ascii="宋体" w:hAnsi="宋体" w:eastAsia="宋体" w:cs="宋体"/>
          <w:bCs/>
          <w:color w:val="auto"/>
          <w:sz w:val="22"/>
          <w:szCs w:val="22"/>
          <w:highlight w:val="none"/>
          <w:lang w:val="en-US" w:eastAsia="zh-CN" w:bidi="ar-SA"/>
        </w:rPr>
        <w:t>个</w:t>
      </w:r>
      <w:r>
        <w:rPr>
          <w:rFonts w:hint="eastAsia" w:ascii="宋体" w:hAnsi="宋体" w:eastAsia="宋体" w:cs="宋体"/>
          <w:color w:val="auto"/>
          <w:kern w:val="2"/>
          <w:sz w:val="22"/>
          <w:szCs w:val="22"/>
          <w:highlight w:val="none"/>
          <w:lang w:val="en-US" w:eastAsia="zh-CN"/>
        </w:rPr>
        <w:t>；</w:t>
      </w:r>
      <w:r>
        <w:rPr>
          <w:rFonts w:hint="eastAsia" w:ascii="宋体" w:hAnsi="宋体" w:cs="宋体"/>
          <w:bCs/>
          <w:color w:val="auto"/>
          <w:sz w:val="22"/>
          <w:szCs w:val="22"/>
          <w:highlight w:val="none"/>
          <w:lang w:val="en-US" w:eastAsia="zh-CN" w:bidi="ar-SA"/>
        </w:rPr>
        <w:t>若</w:t>
      </w:r>
      <w:r>
        <w:rPr>
          <w:rFonts w:hint="eastAsia" w:ascii="宋体" w:hAnsi="宋体" w:cs="宋体"/>
          <w:bCs/>
          <w:color w:val="auto"/>
          <w:kern w:val="0"/>
          <w:sz w:val="22"/>
          <w:szCs w:val="22"/>
          <w:highlight w:val="none"/>
          <w:lang w:val="en-US" w:eastAsia="zh-CN"/>
        </w:rPr>
        <w:t>未完成，</w:t>
      </w:r>
      <w:r>
        <w:rPr>
          <w:rFonts w:hint="eastAsia" w:ascii="宋体" w:hAnsi="宋体" w:cs="宋体"/>
          <w:bCs/>
          <w:color w:val="auto"/>
          <w:sz w:val="22"/>
          <w:szCs w:val="22"/>
          <w:highlight w:val="none"/>
          <w:lang w:val="en-US" w:eastAsia="zh-CN" w:bidi="ar-SA"/>
        </w:rPr>
        <w:t>扣除该内容分项价格，不足10万元按10万元计</w:t>
      </w:r>
      <w:r>
        <w:rPr>
          <w:rFonts w:hint="eastAsia" w:ascii="宋体" w:hAnsi="宋体" w:cs="宋体"/>
          <w:bCs/>
          <w:color w:val="auto"/>
          <w:kern w:val="0"/>
          <w:sz w:val="22"/>
          <w:szCs w:val="22"/>
          <w:highlight w:val="none"/>
          <w:lang w:val="en-US" w:eastAsia="zh-CN"/>
        </w:rPr>
        <w:t>；</w:t>
      </w:r>
    </w:p>
    <w:p w14:paraId="425F852A">
      <w:pPr>
        <w:keepNext w:val="0"/>
        <w:keepLines w:val="0"/>
        <w:pageBreakBefore w:val="0"/>
        <w:widowControl w:val="0"/>
        <w:kinsoku/>
        <w:wordWrap/>
        <w:overflowPunct/>
        <w:topLinePunct w:val="0"/>
        <w:autoSpaceDE w:val="0"/>
        <w:autoSpaceDN w:val="0"/>
        <w:bidi w:val="0"/>
        <w:adjustRightInd/>
        <w:snapToGrid/>
        <w:spacing w:line="440" w:lineRule="exact"/>
        <w:ind w:left="550" w:hanging="550" w:hangingChars="250"/>
        <w:textAlignment w:val="auto"/>
        <w:rPr>
          <w:rFonts w:hint="eastAsia" w:ascii="宋体" w:hAnsi="宋体" w:eastAsia="宋体" w:cs="宋体"/>
          <w:bCs/>
          <w:color w:val="auto"/>
          <w:sz w:val="22"/>
          <w:szCs w:val="22"/>
          <w:highlight w:val="none"/>
          <w:lang w:val="en-US" w:eastAsia="zh-CN" w:bidi="ar-SA"/>
        </w:rPr>
      </w:pPr>
      <w:r>
        <w:rPr>
          <w:rFonts w:hint="eastAsia" w:ascii="宋体" w:hAnsi="宋体" w:eastAsia="宋体" w:cs="宋体"/>
          <w:bCs/>
          <w:color w:val="auto"/>
          <w:sz w:val="22"/>
          <w:szCs w:val="22"/>
          <w:highlight w:val="none"/>
          <w:lang w:val="en-US" w:eastAsia="zh-CN" w:bidi="ar-SA"/>
        </w:rPr>
        <w:t xml:space="preserve">1.6  </w:t>
      </w:r>
      <w:r>
        <w:rPr>
          <w:rFonts w:hint="eastAsia"/>
          <w:color w:val="auto"/>
        </w:rPr>
        <w:t>协助我校开发建设</w:t>
      </w:r>
      <w:r>
        <w:rPr>
          <w:rFonts w:hint="eastAsia" w:ascii="宋体" w:hAnsi="宋体" w:eastAsia="宋体" w:cs="宋体"/>
          <w:color w:val="auto"/>
        </w:rPr>
        <w:t>专业标准和课程标准各一门（人工智能、大数据、信息安全、安全防范</w:t>
      </w:r>
      <w:r>
        <w:rPr>
          <w:rFonts w:hint="eastAsia" w:ascii="宋体" w:hAnsi="宋体" w:cs="宋体"/>
          <w:color w:val="auto"/>
          <w:lang w:val="en-US" w:eastAsia="zh-CN"/>
        </w:rPr>
        <w:t>、</w:t>
      </w:r>
      <w:r>
        <w:rPr>
          <w:rFonts w:hint="eastAsia" w:ascii="宋体" w:hAnsi="宋体" w:eastAsia="宋体" w:cs="宋体"/>
          <w:color w:val="auto"/>
        </w:rPr>
        <w:t>物联网</w:t>
      </w:r>
      <w:r>
        <w:rPr>
          <w:rFonts w:hint="eastAsia" w:ascii="宋体" w:hAnsi="宋体" w:cs="宋体"/>
          <w:color w:val="auto"/>
          <w:lang w:eastAsia="zh-CN"/>
        </w:rPr>
        <w:t>、</w:t>
      </w:r>
      <w:r>
        <w:rPr>
          <w:rFonts w:hint="eastAsia" w:ascii="宋体" w:hAnsi="宋体" w:cs="宋体"/>
          <w:color w:val="auto"/>
          <w:lang w:val="en-US" w:eastAsia="zh-CN"/>
        </w:rPr>
        <w:t>智能制造专业相关</w:t>
      </w:r>
      <w:r>
        <w:rPr>
          <w:rFonts w:hint="eastAsia" w:ascii="宋体" w:hAnsi="宋体" w:eastAsia="宋体" w:cs="宋体"/>
          <w:color w:val="auto"/>
        </w:rPr>
        <w:t>），并获得哈萨克斯坦国家级职业教育管理和培训机构认证（</w:t>
      </w:r>
      <w:r>
        <w:rPr>
          <w:rFonts w:hint="eastAsia" w:ascii="宋体" w:hAnsi="宋体" w:cs="宋体"/>
          <w:color w:val="auto"/>
          <w:lang w:val="en-US" w:eastAsia="zh-CN"/>
        </w:rPr>
        <w:t>中国</w:t>
      </w:r>
      <w:r>
        <w:rPr>
          <w:rFonts w:hint="eastAsia" w:ascii="宋体" w:hAnsi="宋体" w:eastAsia="宋体" w:cs="宋体"/>
          <w:color w:val="auto"/>
        </w:rPr>
        <w:t>教育部／</w:t>
      </w:r>
      <w:r>
        <w:rPr>
          <w:rFonts w:hint="eastAsia" w:ascii="宋体" w:hAnsi="宋体" w:cs="宋体"/>
          <w:color w:val="auto"/>
          <w:lang w:val="en-US" w:eastAsia="zh-CN"/>
        </w:rPr>
        <w:t>浙江</w:t>
      </w:r>
      <w:r>
        <w:rPr>
          <w:rFonts w:hint="eastAsia" w:ascii="宋体" w:hAnsi="宋体" w:eastAsia="宋体" w:cs="宋体"/>
          <w:color w:val="auto"/>
        </w:rPr>
        <w:t>省</w:t>
      </w:r>
      <w:r>
        <w:rPr>
          <w:rFonts w:hint="eastAsia" w:ascii="宋体" w:hAnsi="宋体" w:cs="宋体"/>
          <w:color w:val="auto"/>
          <w:lang w:val="en-US" w:eastAsia="zh-CN"/>
        </w:rPr>
        <w:t>教育</w:t>
      </w:r>
      <w:r>
        <w:rPr>
          <w:rFonts w:hint="eastAsia" w:ascii="宋体" w:hAnsi="宋体" w:eastAsia="宋体" w:cs="宋体"/>
          <w:color w:val="auto"/>
        </w:rPr>
        <w:t>厅必须认可）。2025年启动认证工作，年内完成专业标准和课程标准的制定，完成符合认证的翻译，并获得国际的认证采纳证明，若未</w:t>
      </w:r>
      <w:r>
        <w:rPr>
          <w:rFonts w:hint="eastAsia" w:ascii="宋体" w:hAnsi="宋体" w:eastAsia="宋体" w:cs="宋体"/>
          <w:color w:val="auto"/>
          <w:lang w:eastAsia="zh-CN"/>
        </w:rPr>
        <w:t>完成认证采纳</w:t>
      </w:r>
      <w:r>
        <w:rPr>
          <w:rFonts w:hint="eastAsia" w:ascii="宋体" w:hAnsi="宋体" w:eastAsia="宋体" w:cs="宋体"/>
          <w:color w:val="auto"/>
        </w:rPr>
        <w:t>，扣除该内容分项价格</w:t>
      </w:r>
      <w:r>
        <w:rPr>
          <w:rFonts w:hint="eastAsia" w:ascii="宋体" w:hAnsi="宋体" w:eastAsia="宋体" w:cs="宋体"/>
          <w:color w:val="auto"/>
          <w:lang w:eastAsia="zh-CN"/>
        </w:rPr>
        <w:t>，专业标准未完成不足30万按30万元扣除，课程标准未完成</w:t>
      </w:r>
      <w:r>
        <w:rPr>
          <w:rFonts w:hint="eastAsia" w:ascii="宋体" w:hAnsi="宋体" w:eastAsia="宋体" w:cs="宋体"/>
          <w:color w:val="auto"/>
        </w:rPr>
        <w:t>不足</w:t>
      </w:r>
      <w:r>
        <w:rPr>
          <w:rFonts w:hint="eastAsia" w:ascii="宋体" w:hAnsi="宋体" w:eastAsia="宋体" w:cs="宋体"/>
          <w:color w:val="auto"/>
          <w:lang w:eastAsia="zh-CN"/>
        </w:rPr>
        <w:t>2</w:t>
      </w:r>
      <w:r>
        <w:rPr>
          <w:rFonts w:hint="eastAsia" w:ascii="宋体" w:hAnsi="宋体" w:cs="宋体"/>
          <w:color w:val="auto"/>
          <w:lang w:val="en-US" w:eastAsia="zh-CN"/>
        </w:rPr>
        <w:t>5</w:t>
      </w:r>
      <w:r>
        <w:rPr>
          <w:rFonts w:hint="eastAsia" w:ascii="宋体" w:hAnsi="宋体" w:eastAsia="宋体" w:cs="宋体"/>
          <w:color w:val="auto"/>
          <w:lang w:eastAsia="zh-CN"/>
        </w:rPr>
        <w:t>万按2</w:t>
      </w:r>
      <w:r>
        <w:rPr>
          <w:rFonts w:hint="eastAsia" w:ascii="宋体" w:hAnsi="宋体" w:cs="宋体"/>
          <w:color w:val="auto"/>
          <w:lang w:val="en-US" w:eastAsia="zh-CN"/>
        </w:rPr>
        <w:t>5</w:t>
      </w:r>
      <w:r>
        <w:rPr>
          <w:rFonts w:hint="eastAsia" w:ascii="宋体" w:hAnsi="宋体" w:eastAsia="宋体" w:cs="宋体"/>
          <w:color w:val="auto"/>
          <w:lang w:eastAsia="zh-CN"/>
        </w:rPr>
        <w:t>万计。</w:t>
      </w:r>
    </w:p>
    <w:p w14:paraId="758D1C46">
      <w:pPr>
        <w:keepNext w:val="0"/>
        <w:keepLines w:val="0"/>
        <w:pageBreakBefore w:val="0"/>
        <w:widowControl/>
        <w:kinsoku/>
        <w:wordWrap/>
        <w:overflowPunct/>
        <w:topLinePunct w:val="0"/>
        <w:autoSpaceDE/>
        <w:autoSpaceDN/>
        <w:bidi w:val="0"/>
        <w:adjustRightInd/>
        <w:snapToGrid/>
        <w:spacing w:line="440" w:lineRule="exact"/>
        <w:ind w:left="598" w:hanging="598" w:hangingChars="272"/>
        <w:textAlignment w:val="auto"/>
        <w:rPr>
          <w:rFonts w:hint="eastAsia" w:ascii="宋体" w:hAnsi="宋体" w:eastAsia="宋体" w:cs="宋体"/>
          <w:bCs/>
          <w:color w:val="auto"/>
          <w:sz w:val="22"/>
          <w:szCs w:val="22"/>
          <w:highlight w:val="none"/>
          <w:lang w:val="en-US" w:eastAsia="zh-CN" w:bidi="ar-SA"/>
        </w:rPr>
      </w:pPr>
      <w:r>
        <w:rPr>
          <w:rFonts w:hint="eastAsia" w:ascii="宋体" w:hAnsi="宋体" w:eastAsia="宋体" w:cs="宋体"/>
          <w:bCs/>
          <w:color w:val="auto"/>
          <w:sz w:val="22"/>
          <w:szCs w:val="22"/>
          <w:highlight w:val="none"/>
          <w:lang w:val="en-US" w:eastAsia="zh-CN" w:bidi="ar-SA"/>
        </w:rPr>
        <w:t xml:space="preserve">1.7  </w:t>
      </w:r>
      <w:r>
        <w:rPr>
          <w:rFonts w:hint="eastAsia" w:ascii="宋体" w:hAnsi="宋体" w:cs="宋体"/>
          <w:bCs/>
          <w:color w:val="auto"/>
          <w:sz w:val="22"/>
          <w:szCs w:val="22"/>
          <w:highlight w:val="none"/>
          <w:lang w:val="en-US" w:eastAsia="zh-CN" w:bidi="ar-SA"/>
        </w:rPr>
        <w:t>中标</w:t>
      </w:r>
      <w:r>
        <w:rPr>
          <w:rFonts w:hint="eastAsia" w:ascii="宋体" w:hAnsi="宋体" w:eastAsia="宋体" w:cs="宋体"/>
          <w:bCs/>
          <w:color w:val="auto"/>
          <w:sz w:val="22"/>
          <w:szCs w:val="22"/>
          <w:highlight w:val="none"/>
          <w:lang w:val="en-US" w:eastAsia="zh-CN" w:bidi="ar-SA"/>
        </w:rPr>
        <w:t>人提供智慧实训云平台服务，账号使用期限不少于5年（平台需要支持人工智能、物联网等专业课程的教学和实验，覆盖理论学习与实践操作，满足线上远程教学和本地教学功能；平台应具备完整的教学流程，包括课程节点设定、仿真和终端访问、实训过程监控、学情分析等功能；须具备自然语言处理能力，通过问答的形式解决学习难点）。配备实时翻译软件工具，支持中文、英语、俄语等语言实时翻译，识别准确率不低于95%；同传字幕，支持双语字幕条、多语种全屏字幕，支持通用领域模型、关键词及翻译优化、术语词替换。若</w:t>
      </w:r>
      <w:r>
        <w:rPr>
          <w:rFonts w:hint="eastAsia" w:ascii="宋体" w:hAnsi="宋体" w:eastAsia="宋体" w:cs="宋体"/>
          <w:color w:val="auto"/>
          <w:kern w:val="2"/>
          <w:sz w:val="22"/>
          <w:szCs w:val="22"/>
          <w:highlight w:val="none"/>
          <w:lang w:val="en-US" w:eastAsia="zh-CN"/>
        </w:rPr>
        <w:t>未完成，</w:t>
      </w:r>
      <w:r>
        <w:rPr>
          <w:rFonts w:hint="eastAsia" w:ascii="宋体" w:hAnsi="宋体" w:eastAsia="宋体" w:cs="宋体"/>
          <w:bCs/>
          <w:color w:val="auto"/>
          <w:sz w:val="22"/>
          <w:szCs w:val="22"/>
          <w:highlight w:val="none"/>
          <w:lang w:val="en-US" w:eastAsia="zh-CN" w:bidi="ar-SA"/>
        </w:rPr>
        <w:t>扣除该内容分项价格，不足</w:t>
      </w:r>
      <w:r>
        <w:rPr>
          <w:rFonts w:hint="eastAsia" w:ascii="宋体" w:hAnsi="宋体" w:cs="宋体"/>
          <w:bCs/>
          <w:color w:val="auto"/>
          <w:sz w:val="22"/>
          <w:szCs w:val="22"/>
          <w:highlight w:val="none"/>
          <w:lang w:val="en-US" w:eastAsia="zh-CN" w:bidi="ar-SA"/>
        </w:rPr>
        <w:t>5</w:t>
      </w:r>
      <w:r>
        <w:rPr>
          <w:rFonts w:hint="eastAsia" w:ascii="宋体" w:hAnsi="宋体" w:eastAsia="宋体" w:cs="宋体"/>
          <w:bCs/>
          <w:color w:val="auto"/>
          <w:sz w:val="22"/>
          <w:szCs w:val="22"/>
          <w:highlight w:val="none"/>
          <w:lang w:val="en-US" w:eastAsia="zh-CN" w:bidi="ar-SA"/>
        </w:rPr>
        <w:t>万元按</w:t>
      </w:r>
      <w:r>
        <w:rPr>
          <w:rFonts w:hint="eastAsia" w:ascii="宋体" w:hAnsi="宋体" w:cs="宋体"/>
          <w:bCs/>
          <w:color w:val="auto"/>
          <w:sz w:val="22"/>
          <w:szCs w:val="22"/>
          <w:highlight w:val="none"/>
          <w:lang w:val="en-US" w:eastAsia="zh-CN" w:bidi="ar-SA"/>
        </w:rPr>
        <w:t>5</w:t>
      </w:r>
      <w:r>
        <w:rPr>
          <w:rFonts w:hint="eastAsia" w:ascii="宋体" w:hAnsi="宋体" w:eastAsia="宋体" w:cs="宋体"/>
          <w:bCs/>
          <w:color w:val="auto"/>
          <w:sz w:val="22"/>
          <w:szCs w:val="22"/>
          <w:highlight w:val="none"/>
          <w:lang w:val="en-US" w:eastAsia="zh-CN" w:bidi="ar-SA"/>
        </w:rPr>
        <w:t>万元计</w:t>
      </w:r>
      <w:r>
        <w:rPr>
          <w:rFonts w:hint="eastAsia" w:ascii="宋体" w:hAnsi="宋体" w:eastAsia="宋体" w:cs="宋体"/>
          <w:color w:val="auto"/>
          <w:kern w:val="2"/>
          <w:sz w:val="22"/>
          <w:szCs w:val="22"/>
          <w:highlight w:val="none"/>
          <w:lang w:val="en-US" w:eastAsia="zh-CN"/>
        </w:rPr>
        <w:t>。</w:t>
      </w:r>
    </w:p>
    <w:p w14:paraId="3DAF3DAD">
      <w:pPr>
        <w:pStyle w:val="17"/>
        <w:keepNext w:val="0"/>
        <w:keepLines w:val="0"/>
        <w:pageBreakBefore w:val="0"/>
        <w:widowControl w:val="0"/>
        <w:tabs>
          <w:tab w:val="left" w:pos="567"/>
        </w:tabs>
        <w:kinsoku/>
        <w:wordWrap/>
        <w:overflowPunct/>
        <w:topLinePunct w:val="0"/>
        <w:autoSpaceDE w:val="0"/>
        <w:autoSpaceDN w:val="0"/>
        <w:bidi w:val="0"/>
        <w:adjustRightInd/>
        <w:snapToGrid/>
        <w:spacing w:before="0" w:after="0"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 xml:space="preserve">.   </w:t>
      </w:r>
      <w:r>
        <w:rPr>
          <w:rFonts w:hint="eastAsia" w:ascii="宋体" w:hAnsi="宋体" w:eastAsia="宋体" w:cs="宋体"/>
          <w:b/>
          <w:bCs/>
          <w:color w:val="auto"/>
          <w:kern w:val="2"/>
          <w:sz w:val="22"/>
          <w:szCs w:val="22"/>
          <w:highlight w:val="none"/>
        </w:rPr>
        <w:t>实施进度要求</w:t>
      </w:r>
    </w:p>
    <w:p w14:paraId="423D96E4">
      <w:pPr>
        <w:keepNext w:val="0"/>
        <w:keepLines w:val="0"/>
        <w:pageBreakBefore w:val="0"/>
        <w:widowControl w:val="0"/>
        <w:kinsoku/>
        <w:wordWrap/>
        <w:overflowPunct/>
        <w:topLinePunct w:val="0"/>
        <w:autoSpaceDE w:val="0"/>
        <w:autoSpaceDN w:val="0"/>
        <w:bidi w:val="0"/>
        <w:adjustRightInd/>
        <w:snapToGrid/>
        <w:spacing w:line="440" w:lineRule="exact"/>
        <w:ind w:left="550" w:hanging="550" w:hangingChars="250"/>
        <w:textAlignment w:val="auto"/>
        <w:rPr>
          <w:rFonts w:hint="eastAsia" w:ascii="宋体" w:hAnsi="宋体" w:eastAsia="宋体" w:cs="宋体"/>
          <w:bCs/>
          <w:color w:val="auto"/>
          <w:sz w:val="22"/>
          <w:szCs w:val="22"/>
          <w:highlight w:val="none"/>
          <w:lang w:val="en-US" w:eastAsia="zh-CN" w:bidi="ar-SA"/>
        </w:rPr>
      </w:pPr>
      <w:r>
        <w:rPr>
          <w:rFonts w:hint="eastAsia" w:ascii="宋体" w:hAnsi="宋体" w:eastAsia="宋体" w:cs="宋体"/>
          <w:bCs/>
          <w:color w:val="auto"/>
          <w:sz w:val="22"/>
          <w:szCs w:val="22"/>
          <w:highlight w:val="none"/>
          <w:lang w:val="en-US" w:eastAsia="zh-CN" w:bidi="ar-SA"/>
        </w:rPr>
        <w:t xml:space="preserve">2.1  </w:t>
      </w:r>
      <w:r>
        <w:rPr>
          <w:rFonts w:hint="eastAsia" w:ascii="宋体" w:hAnsi="宋体" w:cs="宋体"/>
          <w:bCs/>
          <w:color w:val="auto"/>
          <w:sz w:val="22"/>
          <w:szCs w:val="22"/>
          <w:highlight w:val="none"/>
          <w:lang w:val="en-US" w:eastAsia="zh-CN" w:bidi="ar-SA"/>
        </w:rPr>
        <w:t>中标人</w:t>
      </w:r>
      <w:r>
        <w:rPr>
          <w:rFonts w:hint="eastAsia" w:ascii="宋体" w:hAnsi="宋体" w:eastAsia="宋体" w:cs="宋体"/>
          <w:bCs/>
          <w:color w:val="auto"/>
          <w:sz w:val="22"/>
          <w:szCs w:val="22"/>
          <w:highlight w:val="none"/>
          <w:lang w:val="en-US" w:eastAsia="zh-CN" w:bidi="ar-SA"/>
        </w:rPr>
        <w:t>应制定项目整体执行方案，明确组织架构，细化各项子活动的推进时间安排，实施路径等，并确保按照项目实施计划执行。</w:t>
      </w:r>
    </w:p>
    <w:p w14:paraId="52FEBBA8">
      <w:pPr>
        <w:keepNext w:val="0"/>
        <w:keepLines w:val="0"/>
        <w:pageBreakBefore w:val="0"/>
        <w:widowControl w:val="0"/>
        <w:kinsoku/>
        <w:wordWrap/>
        <w:overflowPunct/>
        <w:topLinePunct w:val="0"/>
        <w:autoSpaceDE w:val="0"/>
        <w:autoSpaceDN w:val="0"/>
        <w:bidi w:val="0"/>
        <w:adjustRightInd/>
        <w:snapToGrid/>
        <w:spacing w:line="440" w:lineRule="exact"/>
        <w:ind w:left="550" w:hanging="550" w:hangingChars="250"/>
        <w:textAlignment w:val="auto"/>
        <w:rPr>
          <w:rFonts w:hint="eastAsia" w:ascii="宋体" w:hAnsi="宋体" w:eastAsia="宋体" w:cs="宋体"/>
          <w:bCs/>
          <w:color w:val="auto"/>
          <w:sz w:val="22"/>
          <w:szCs w:val="22"/>
          <w:highlight w:val="none"/>
          <w:lang w:val="en-US" w:eastAsia="zh-CN" w:bidi="ar-SA"/>
        </w:rPr>
      </w:pPr>
      <w:r>
        <w:rPr>
          <w:rFonts w:hint="eastAsia" w:ascii="宋体" w:hAnsi="宋体" w:eastAsia="宋体" w:cs="宋体"/>
          <w:bCs/>
          <w:color w:val="auto"/>
          <w:sz w:val="22"/>
          <w:szCs w:val="22"/>
          <w:highlight w:val="none"/>
          <w:lang w:val="en-US" w:eastAsia="zh-CN" w:bidi="ar-SA"/>
        </w:rPr>
        <w:t>2.2  9-</w:t>
      </w:r>
      <w:r>
        <w:rPr>
          <w:rFonts w:hint="eastAsia" w:ascii="宋体" w:hAnsi="宋体" w:cs="宋体"/>
          <w:bCs/>
          <w:color w:val="auto"/>
          <w:sz w:val="22"/>
          <w:szCs w:val="22"/>
          <w:highlight w:val="none"/>
          <w:lang w:val="en-US" w:eastAsia="zh-CN" w:bidi="ar-SA"/>
        </w:rPr>
        <w:t>11</w:t>
      </w:r>
      <w:r>
        <w:rPr>
          <w:rFonts w:hint="eastAsia" w:ascii="宋体" w:hAnsi="宋体" w:eastAsia="宋体" w:cs="宋体"/>
          <w:bCs/>
          <w:color w:val="auto"/>
          <w:sz w:val="22"/>
          <w:szCs w:val="22"/>
          <w:highlight w:val="none"/>
          <w:lang w:val="en-US" w:eastAsia="zh-CN" w:bidi="ar-SA"/>
        </w:rPr>
        <w:t>月，完成浙江安防职业技术学院与</w:t>
      </w:r>
      <w:r>
        <w:rPr>
          <w:rFonts w:hint="eastAsia" w:ascii="宋体" w:hAnsi="宋体" w:cs="宋体"/>
          <w:bCs/>
          <w:color w:val="auto"/>
          <w:sz w:val="22"/>
          <w:szCs w:val="22"/>
          <w:highlight w:val="none"/>
          <w:lang w:val="en-US" w:eastAsia="zh-CN" w:bidi="ar-SA"/>
        </w:rPr>
        <w:t>一家哈萨克斯坦</w:t>
      </w:r>
      <w:r>
        <w:rPr>
          <w:rFonts w:hint="eastAsia" w:ascii="宋体" w:hAnsi="宋体" w:eastAsia="宋体" w:cs="宋体"/>
          <w:bCs/>
          <w:color w:val="auto"/>
          <w:sz w:val="22"/>
          <w:szCs w:val="22"/>
          <w:highlight w:val="none"/>
          <w:lang w:val="en-US" w:eastAsia="zh-CN" w:bidi="ar-SA"/>
        </w:rPr>
        <w:t>职业院校共建中外学院揭牌仪式，并就双方协商意向，举行合作项目签约仪式。</w:t>
      </w:r>
    </w:p>
    <w:p w14:paraId="4E5EE677">
      <w:pPr>
        <w:keepNext w:val="0"/>
        <w:keepLines w:val="0"/>
        <w:pageBreakBefore w:val="0"/>
        <w:widowControl w:val="0"/>
        <w:kinsoku/>
        <w:wordWrap/>
        <w:overflowPunct/>
        <w:topLinePunct w:val="0"/>
        <w:autoSpaceDE w:val="0"/>
        <w:autoSpaceDN w:val="0"/>
        <w:bidi w:val="0"/>
        <w:adjustRightInd/>
        <w:snapToGrid/>
        <w:spacing w:line="440" w:lineRule="exact"/>
        <w:ind w:left="550" w:hanging="550" w:hangingChars="250"/>
        <w:textAlignment w:val="auto"/>
        <w:rPr>
          <w:rFonts w:hint="eastAsia" w:ascii="宋体" w:hAnsi="宋体" w:eastAsia="宋体" w:cs="宋体"/>
          <w:bCs/>
          <w:color w:val="auto"/>
          <w:sz w:val="22"/>
          <w:szCs w:val="22"/>
          <w:highlight w:val="none"/>
          <w:lang w:val="en-US" w:eastAsia="zh-CN" w:bidi="ar-SA"/>
        </w:rPr>
      </w:pPr>
      <w:r>
        <w:rPr>
          <w:rFonts w:hint="eastAsia" w:ascii="宋体" w:hAnsi="宋体" w:eastAsia="宋体" w:cs="宋体"/>
          <w:bCs/>
          <w:color w:val="auto"/>
          <w:sz w:val="22"/>
          <w:szCs w:val="22"/>
          <w:highlight w:val="none"/>
          <w:lang w:val="en-US" w:eastAsia="zh-CN" w:bidi="ar-SA"/>
        </w:rPr>
        <w:t>2.3  9-</w:t>
      </w:r>
      <w:r>
        <w:rPr>
          <w:rFonts w:hint="eastAsia" w:ascii="宋体" w:hAnsi="宋体" w:cs="宋体"/>
          <w:bCs/>
          <w:color w:val="auto"/>
          <w:sz w:val="22"/>
          <w:szCs w:val="22"/>
          <w:highlight w:val="none"/>
          <w:lang w:val="en-US" w:eastAsia="zh-CN" w:bidi="ar-SA"/>
        </w:rPr>
        <w:t>11</w:t>
      </w:r>
      <w:r>
        <w:rPr>
          <w:rFonts w:hint="eastAsia" w:ascii="宋体" w:hAnsi="宋体" w:eastAsia="宋体" w:cs="宋体"/>
          <w:bCs/>
          <w:color w:val="auto"/>
          <w:sz w:val="22"/>
          <w:szCs w:val="22"/>
          <w:highlight w:val="none"/>
          <w:lang w:val="en-US" w:eastAsia="zh-CN" w:bidi="ar-SA"/>
        </w:rPr>
        <w:t>月，在</w:t>
      </w:r>
      <w:r>
        <w:rPr>
          <w:rFonts w:hint="eastAsia" w:ascii="宋体" w:hAnsi="宋体" w:cs="宋体"/>
          <w:bCs/>
          <w:color w:val="auto"/>
          <w:sz w:val="22"/>
          <w:szCs w:val="22"/>
          <w:highlight w:val="none"/>
          <w:lang w:val="en-US" w:eastAsia="zh-CN" w:bidi="ar-SA"/>
        </w:rPr>
        <w:t>哈萨克斯坦中资企业</w:t>
      </w:r>
      <w:r>
        <w:rPr>
          <w:rFonts w:hint="eastAsia" w:ascii="宋体" w:hAnsi="宋体" w:eastAsia="宋体" w:cs="宋体"/>
          <w:bCs/>
          <w:color w:val="auto"/>
          <w:sz w:val="22"/>
          <w:szCs w:val="22"/>
          <w:highlight w:val="none"/>
          <w:lang w:val="en-US" w:eastAsia="zh-CN" w:bidi="ar-SA"/>
        </w:rPr>
        <w:t>工业园区建立学生实践基地</w:t>
      </w:r>
      <w:r>
        <w:rPr>
          <w:rFonts w:hint="eastAsia" w:ascii="宋体" w:hAnsi="宋体" w:cs="宋体"/>
          <w:bCs/>
          <w:color w:val="auto"/>
          <w:sz w:val="22"/>
          <w:szCs w:val="22"/>
          <w:highlight w:val="none"/>
          <w:lang w:val="en-US" w:eastAsia="zh-CN" w:bidi="ar-SA"/>
        </w:rPr>
        <w:t>一个</w:t>
      </w:r>
      <w:r>
        <w:rPr>
          <w:rFonts w:hint="eastAsia" w:ascii="宋体" w:hAnsi="宋体" w:eastAsia="宋体" w:cs="宋体"/>
          <w:bCs/>
          <w:color w:val="auto"/>
          <w:sz w:val="22"/>
          <w:szCs w:val="22"/>
          <w:highlight w:val="none"/>
          <w:lang w:val="en-US" w:eastAsia="zh-CN" w:bidi="ar-SA"/>
        </w:rPr>
        <w:t>。</w:t>
      </w:r>
    </w:p>
    <w:p w14:paraId="70CCEB0F">
      <w:pPr>
        <w:keepNext w:val="0"/>
        <w:keepLines w:val="0"/>
        <w:pageBreakBefore w:val="0"/>
        <w:widowControl w:val="0"/>
        <w:kinsoku/>
        <w:wordWrap/>
        <w:overflowPunct/>
        <w:topLinePunct w:val="0"/>
        <w:autoSpaceDE w:val="0"/>
        <w:autoSpaceDN w:val="0"/>
        <w:bidi w:val="0"/>
        <w:adjustRightInd/>
        <w:snapToGrid/>
        <w:spacing w:line="440" w:lineRule="exact"/>
        <w:ind w:left="550" w:hanging="550" w:hangingChars="250"/>
        <w:textAlignment w:val="auto"/>
        <w:rPr>
          <w:rFonts w:hint="eastAsia" w:ascii="宋体" w:hAnsi="宋体" w:eastAsia="宋体" w:cs="宋体"/>
          <w:bCs/>
          <w:color w:val="auto"/>
          <w:sz w:val="22"/>
          <w:szCs w:val="22"/>
          <w:highlight w:val="none"/>
          <w:lang w:val="en-US" w:eastAsia="zh-CN" w:bidi="ar-SA"/>
        </w:rPr>
      </w:pPr>
      <w:r>
        <w:rPr>
          <w:rFonts w:hint="eastAsia" w:ascii="宋体" w:hAnsi="宋体" w:eastAsia="宋体" w:cs="宋体"/>
          <w:bCs/>
          <w:color w:val="auto"/>
          <w:sz w:val="22"/>
          <w:szCs w:val="22"/>
          <w:highlight w:val="none"/>
          <w:lang w:val="en-US" w:eastAsia="zh-CN" w:bidi="ar-SA"/>
        </w:rPr>
        <w:t>2.4  9-</w:t>
      </w:r>
      <w:r>
        <w:rPr>
          <w:rFonts w:hint="eastAsia" w:ascii="宋体" w:hAnsi="宋体" w:cs="宋体"/>
          <w:bCs/>
          <w:color w:val="auto"/>
          <w:sz w:val="22"/>
          <w:szCs w:val="22"/>
          <w:highlight w:val="none"/>
          <w:lang w:val="en-US" w:eastAsia="zh-CN" w:bidi="ar-SA"/>
        </w:rPr>
        <w:t>11</w:t>
      </w:r>
      <w:r>
        <w:rPr>
          <w:rFonts w:hint="eastAsia" w:ascii="宋体" w:hAnsi="宋体" w:eastAsia="宋体" w:cs="宋体"/>
          <w:bCs/>
          <w:color w:val="auto"/>
          <w:sz w:val="22"/>
          <w:szCs w:val="22"/>
          <w:highlight w:val="none"/>
          <w:lang w:val="en-US" w:eastAsia="zh-CN" w:bidi="ar-SA"/>
        </w:rPr>
        <w:t>月，在合作院校内</w:t>
      </w:r>
      <w:r>
        <w:rPr>
          <w:rFonts w:hint="eastAsia" w:ascii="宋体" w:hAnsi="宋体" w:cs="宋体"/>
          <w:bCs/>
          <w:color w:val="auto"/>
          <w:sz w:val="22"/>
          <w:szCs w:val="22"/>
          <w:highlight w:val="none"/>
          <w:lang w:val="en-US" w:eastAsia="zh-CN" w:bidi="ar-SA"/>
        </w:rPr>
        <w:t>开设的</w:t>
      </w:r>
      <w:r>
        <w:rPr>
          <w:rFonts w:hint="eastAsia" w:ascii="宋体" w:hAnsi="宋体" w:eastAsia="宋体" w:cs="宋体"/>
          <w:bCs/>
          <w:color w:val="auto"/>
          <w:sz w:val="22"/>
          <w:szCs w:val="22"/>
          <w:highlight w:val="none"/>
          <w:lang w:val="en-US" w:eastAsia="zh-CN" w:bidi="ar-SA"/>
        </w:rPr>
        <w:t>智能实训服务平台</w:t>
      </w:r>
      <w:r>
        <w:rPr>
          <w:rFonts w:hint="eastAsia" w:ascii="宋体" w:hAnsi="宋体" w:cs="宋体"/>
          <w:bCs/>
          <w:color w:val="auto"/>
          <w:sz w:val="22"/>
          <w:szCs w:val="22"/>
          <w:highlight w:val="none"/>
          <w:lang w:val="en-US" w:eastAsia="zh-CN" w:bidi="ar-SA"/>
        </w:rPr>
        <w:t>投用，用于教学</w:t>
      </w:r>
      <w:r>
        <w:rPr>
          <w:rFonts w:hint="eastAsia" w:ascii="宋体" w:hAnsi="宋体" w:eastAsia="宋体" w:cs="宋体"/>
          <w:bCs/>
          <w:color w:val="auto"/>
          <w:sz w:val="22"/>
          <w:szCs w:val="22"/>
          <w:highlight w:val="none"/>
          <w:lang w:val="en-US" w:eastAsia="zh-CN" w:bidi="ar-SA"/>
        </w:rPr>
        <w:t>。</w:t>
      </w:r>
    </w:p>
    <w:p w14:paraId="3FCA7658">
      <w:pPr>
        <w:keepNext w:val="0"/>
        <w:keepLines w:val="0"/>
        <w:pageBreakBefore w:val="0"/>
        <w:widowControl w:val="0"/>
        <w:kinsoku/>
        <w:wordWrap/>
        <w:overflowPunct/>
        <w:topLinePunct w:val="0"/>
        <w:autoSpaceDE w:val="0"/>
        <w:autoSpaceDN w:val="0"/>
        <w:bidi w:val="0"/>
        <w:adjustRightInd/>
        <w:snapToGrid/>
        <w:spacing w:line="440" w:lineRule="exact"/>
        <w:ind w:left="550" w:hanging="550" w:hangingChars="250"/>
        <w:textAlignment w:val="auto"/>
        <w:rPr>
          <w:rFonts w:hint="eastAsia" w:ascii="宋体" w:hAnsi="宋体" w:eastAsia="宋体" w:cs="宋体"/>
          <w:bCs/>
          <w:color w:val="auto"/>
          <w:sz w:val="22"/>
          <w:szCs w:val="22"/>
          <w:highlight w:val="none"/>
          <w:lang w:val="en-US" w:eastAsia="zh-CN" w:bidi="ar-SA"/>
        </w:rPr>
      </w:pPr>
      <w:r>
        <w:rPr>
          <w:rFonts w:hint="eastAsia" w:ascii="宋体" w:hAnsi="宋体" w:eastAsia="宋体" w:cs="宋体"/>
          <w:bCs/>
          <w:color w:val="auto"/>
          <w:sz w:val="22"/>
          <w:szCs w:val="22"/>
          <w:highlight w:val="none"/>
          <w:lang w:val="en-US" w:eastAsia="zh-CN" w:bidi="ar-SA"/>
        </w:rPr>
        <w:t>2.5  9-1</w:t>
      </w:r>
      <w:r>
        <w:rPr>
          <w:rFonts w:hint="eastAsia" w:ascii="宋体" w:hAnsi="宋体" w:cs="宋体"/>
          <w:bCs/>
          <w:color w:val="auto"/>
          <w:sz w:val="22"/>
          <w:szCs w:val="22"/>
          <w:highlight w:val="none"/>
          <w:lang w:val="en-US" w:eastAsia="zh-CN" w:bidi="ar-SA"/>
        </w:rPr>
        <w:t>1</w:t>
      </w:r>
      <w:r>
        <w:rPr>
          <w:rFonts w:hint="eastAsia" w:ascii="宋体" w:hAnsi="宋体" w:eastAsia="宋体" w:cs="宋体"/>
          <w:bCs/>
          <w:color w:val="auto"/>
          <w:sz w:val="22"/>
          <w:szCs w:val="22"/>
          <w:highlight w:val="none"/>
          <w:lang w:val="en-US" w:eastAsia="zh-CN" w:bidi="ar-SA"/>
        </w:rPr>
        <w:t>月，组织</w:t>
      </w:r>
      <w:r>
        <w:rPr>
          <w:rFonts w:hint="eastAsia" w:ascii="宋体" w:hAnsi="宋体" w:cs="宋体"/>
          <w:bCs/>
          <w:color w:val="auto"/>
          <w:sz w:val="22"/>
          <w:szCs w:val="22"/>
          <w:highlight w:val="none"/>
          <w:lang w:val="en-US" w:eastAsia="zh-CN" w:bidi="ar-SA"/>
        </w:rPr>
        <w:t>2名</w:t>
      </w:r>
      <w:r>
        <w:rPr>
          <w:rFonts w:hint="eastAsia" w:ascii="宋体" w:hAnsi="宋体" w:eastAsia="宋体" w:cs="宋体"/>
          <w:bCs/>
          <w:color w:val="auto"/>
          <w:sz w:val="22"/>
          <w:szCs w:val="22"/>
          <w:highlight w:val="none"/>
          <w:lang w:val="en-US" w:eastAsia="zh-CN" w:bidi="ar-SA"/>
        </w:rPr>
        <w:t>中方教师赴</w:t>
      </w:r>
      <w:r>
        <w:rPr>
          <w:rFonts w:hint="eastAsia" w:ascii="宋体" w:hAnsi="宋体" w:cs="宋体"/>
          <w:bCs/>
          <w:color w:val="auto"/>
          <w:sz w:val="22"/>
          <w:szCs w:val="22"/>
          <w:highlight w:val="none"/>
          <w:lang w:val="en-US" w:eastAsia="zh-CN" w:bidi="ar-SA"/>
        </w:rPr>
        <w:t>哈萨克斯坦</w:t>
      </w:r>
      <w:r>
        <w:rPr>
          <w:rFonts w:hint="eastAsia" w:ascii="宋体" w:hAnsi="宋体" w:eastAsia="宋体" w:cs="宋体"/>
          <w:bCs/>
          <w:color w:val="auto"/>
          <w:sz w:val="22"/>
          <w:szCs w:val="22"/>
          <w:highlight w:val="none"/>
          <w:lang w:val="en-US" w:eastAsia="zh-CN" w:bidi="ar-SA"/>
        </w:rPr>
        <w:t>走进合作校开展讲座</w:t>
      </w:r>
      <w:r>
        <w:rPr>
          <w:rFonts w:hint="eastAsia" w:ascii="宋体" w:hAnsi="宋体" w:cs="宋体"/>
          <w:bCs/>
          <w:color w:val="auto"/>
          <w:sz w:val="22"/>
          <w:szCs w:val="22"/>
          <w:highlight w:val="none"/>
          <w:lang w:val="en-US" w:eastAsia="zh-CN" w:bidi="ar-SA"/>
        </w:rPr>
        <w:t>共30课时</w:t>
      </w:r>
      <w:r>
        <w:rPr>
          <w:rFonts w:hint="eastAsia" w:ascii="宋体" w:hAnsi="宋体" w:eastAsia="宋体" w:cs="宋体"/>
          <w:bCs/>
          <w:color w:val="auto"/>
          <w:sz w:val="22"/>
          <w:szCs w:val="22"/>
          <w:highlight w:val="none"/>
          <w:lang w:val="en-US" w:eastAsia="zh-CN" w:bidi="ar-SA"/>
        </w:rPr>
        <w:t>，走进</w:t>
      </w:r>
      <w:r>
        <w:rPr>
          <w:rFonts w:hint="eastAsia" w:ascii="宋体" w:hAnsi="宋体" w:cs="宋体"/>
          <w:bCs/>
          <w:color w:val="auto"/>
          <w:sz w:val="22"/>
          <w:szCs w:val="22"/>
          <w:highlight w:val="none"/>
          <w:lang w:val="en-US" w:eastAsia="zh-CN" w:bidi="ar-SA"/>
        </w:rPr>
        <w:t>在哈中资</w:t>
      </w:r>
      <w:r>
        <w:rPr>
          <w:rFonts w:hint="eastAsia" w:ascii="宋体" w:hAnsi="宋体" w:eastAsia="宋体" w:cs="宋体"/>
          <w:bCs/>
          <w:color w:val="auto"/>
          <w:sz w:val="22"/>
          <w:szCs w:val="22"/>
          <w:highlight w:val="none"/>
          <w:lang w:val="en-US" w:eastAsia="zh-CN" w:bidi="ar-SA"/>
        </w:rPr>
        <w:t>企业开展实训指导</w:t>
      </w:r>
      <w:r>
        <w:rPr>
          <w:rFonts w:hint="eastAsia" w:ascii="宋体" w:hAnsi="宋体" w:cs="宋体"/>
          <w:bCs/>
          <w:color w:val="auto"/>
          <w:sz w:val="22"/>
          <w:szCs w:val="22"/>
          <w:highlight w:val="none"/>
          <w:lang w:val="en-US" w:eastAsia="zh-CN" w:bidi="ar-SA"/>
        </w:rPr>
        <w:t>2次</w:t>
      </w:r>
      <w:r>
        <w:rPr>
          <w:rFonts w:hint="eastAsia" w:ascii="宋体" w:hAnsi="宋体" w:eastAsia="宋体" w:cs="宋体"/>
          <w:bCs/>
          <w:color w:val="auto"/>
          <w:sz w:val="22"/>
          <w:szCs w:val="22"/>
          <w:highlight w:val="none"/>
          <w:lang w:val="en-US" w:eastAsia="zh-CN" w:bidi="ar-SA"/>
        </w:rPr>
        <w:t>。</w:t>
      </w:r>
    </w:p>
    <w:p w14:paraId="2C6A729B">
      <w:pPr>
        <w:keepNext w:val="0"/>
        <w:keepLines w:val="0"/>
        <w:pageBreakBefore w:val="0"/>
        <w:widowControl w:val="0"/>
        <w:kinsoku/>
        <w:wordWrap/>
        <w:overflowPunct/>
        <w:topLinePunct w:val="0"/>
        <w:autoSpaceDE w:val="0"/>
        <w:autoSpaceDN w:val="0"/>
        <w:bidi w:val="0"/>
        <w:adjustRightInd/>
        <w:snapToGrid/>
        <w:spacing w:line="440" w:lineRule="exact"/>
        <w:ind w:left="550" w:hanging="550" w:hangingChars="250"/>
        <w:textAlignment w:val="auto"/>
        <w:rPr>
          <w:rFonts w:hint="eastAsia" w:ascii="宋体" w:hAnsi="宋体" w:eastAsia="宋体" w:cs="宋体"/>
          <w:bCs/>
          <w:color w:val="auto"/>
          <w:sz w:val="22"/>
          <w:szCs w:val="22"/>
          <w:highlight w:val="none"/>
          <w:lang w:val="en-US" w:eastAsia="zh-CN" w:bidi="ar-SA"/>
        </w:rPr>
      </w:pPr>
      <w:r>
        <w:rPr>
          <w:rFonts w:hint="eastAsia" w:ascii="宋体" w:hAnsi="宋体" w:eastAsia="宋体" w:cs="宋体"/>
          <w:bCs/>
          <w:color w:val="auto"/>
          <w:sz w:val="22"/>
          <w:szCs w:val="22"/>
          <w:highlight w:val="none"/>
          <w:lang w:val="en-US" w:eastAsia="zh-CN" w:bidi="ar-SA"/>
        </w:rPr>
        <w:t>2.6  11月，启动双方学校开发专业标准和课程标准事宜；12月形成初步成果。</w:t>
      </w:r>
    </w:p>
    <w:p w14:paraId="027A37AC">
      <w:pPr>
        <w:keepNext w:val="0"/>
        <w:keepLines w:val="0"/>
        <w:pageBreakBefore w:val="0"/>
        <w:widowControl w:val="0"/>
        <w:kinsoku/>
        <w:wordWrap/>
        <w:overflowPunct/>
        <w:topLinePunct w:val="0"/>
        <w:autoSpaceDE w:val="0"/>
        <w:autoSpaceDN w:val="0"/>
        <w:bidi w:val="0"/>
        <w:adjustRightInd/>
        <w:snapToGrid/>
        <w:spacing w:line="440" w:lineRule="exact"/>
        <w:ind w:left="550" w:hanging="550" w:hangingChars="250"/>
        <w:textAlignment w:val="auto"/>
        <w:rPr>
          <w:rFonts w:hint="eastAsia" w:ascii="宋体" w:hAnsi="宋体" w:cs="宋体"/>
          <w:bCs/>
          <w:color w:val="auto"/>
          <w:sz w:val="22"/>
          <w:szCs w:val="22"/>
          <w:highlight w:val="none"/>
          <w:lang w:val="en-US" w:eastAsia="zh-CN" w:bidi="ar-SA"/>
        </w:rPr>
      </w:pPr>
      <w:r>
        <w:rPr>
          <w:rFonts w:hint="eastAsia" w:ascii="宋体" w:hAnsi="宋体" w:eastAsia="宋体" w:cs="宋体"/>
          <w:bCs/>
          <w:color w:val="auto"/>
          <w:sz w:val="22"/>
          <w:szCs w:val="22"/>
          <w:highlight w:val="none"/>
          <w:lang w:val="en-US" w:eastAsia="zh-CN" w:bidi="ar-SA"/>
        </w:rPr>
        <w:t>2.7  12月，启动中外应用型人才联合培养项目招生，安排外国学生来华学习、研学</w:t>
      </w:r>
      <w:r>
        <w:rPr>
          <w:rFonts w:hint="eastAsia" w:ascii="宋体" w:hAnsi="宋体" w:cs="宋体"/>
          <w:bCs/>
          <w:color w:val="auto"/>
          <w:sz w:val="22"/>
          <w:szCs w:val="22"/>
          <w:highlight w:val="none"/>
          <w:lang w:val="en-US" w:eastAsia="zh-CN" w:bidi="ar-SA"/>
        </w:rPr>
        <w:t>，在完成报名、签证等工作的基础上，如遇政策等因素导致2025年底来华学生人数不足，经采购人同意，可适当延期至2026年，中标人须提供承诺函。</w:t>
      </w:r>
    </w:p>
    <w:p w14:paraId="7FA516F5">
      <w:pPr>
        <w:keepNext w:val="0"/>
        <w:keepLines w:val="0"/>
        <w:pageBreakBefore w:val="0"/>
        <w:widowControl w:val="0"/>
        <w:kinsoku/>
        <w:wordWrap/>
        <w:overflowPunct/>
        <w:topLinePunct w:val="0"/>
        <w:autoSpaceDE w:val="0"/>
        <w:autoSpaceDN w:val="0"/>
        <w:bidi w:val="0"/>
        <w:adjustRightInd/>
        <w:snapToGrid/>
        <w:spacing w:line="440" w:lineRule="exact"/>
        <w:ind w:left="550" w:hanging="550" w:hangingChars="250"/>
        <w:textAlignment w:val="auto"/>
        <w:rPr>
          <w:rFonts w:hint="eastAsia" w:ascii="宋体" w:hAnsi="宋体" w:eastAsia="宋体" w:cs="宋体"/>
          <w:b/>
          <w:bCs/>
          <w:color w:val="auto"/>
          <w:sz w:val="22"/>
          <w:szCs w:val="22"/>
          <w:highlight w:val="none"/>
        </w:rPr>
      </w:pPr>
      <w:r>
        <w:rPr>
          <w:rFonts w:hint="eastAsia" w:ascii="宋体" w:hAnsi="宋体" w:eastAsia="宋体" w:cs="宋体"/>
          <w:bCs/>
          <w:color w:val="auto"/>
          <w:sz w:val="22"/>
          <w:szCs w:val="22"/>
          <w:highlight w:val="none"/>
          <w:lang w:val="en-US" w:eastAsia="zh-CN" w:bidi="ar-SA"/>
        </w:rPr>
        <w:t>2.8  2025年底提交项目阶段性执行情况和下一阶段工作计划。</w:t>
      </w:r>
    </w:p>
    <w:p w14:paraId="4BE67A68">
      <w:pPr>
        <w:pStyle w:val="17"/>
        <w:keepNext w:val="0"/>
        <w:keepLines w:val="0"/>
        <w:pageBreakBefore w:val="0"/>
        <w:widowControl w:val="0"/>
        <w:tabs>
          <w:tab w:val="left" w:pos="567"/>
        </w:tabs>
        <w:kinsoku/>
        <w:wordWrap/>
        <w:overflowPunct/>
        <w:topLinePunct w:val="0"/>
        <w:autoSpaceDE w:val="0"/>
        <w:autoSpaceDN w:val="0"/>
        <w:bidi w:val="0"/>
        <w:adjustRightInd/>
        <w:snapToGrid/>
        <w:spacing w:before="0" w:after="0" w:line="440" w:lineRule="exact"/>
        <w:textAlignment w:val="auto"/>
        <w:rPr>
          <w:rFonts w:hint="default" w:ascii="宋体" w:hAnsi="宋体" w:eastAsia="宋体" w:cs="宋体"/>
          <w:b/>
          <w:bCs/>
          <w:color w:val="auto"/>
          <w:kern w:val="2"/>
          <w:sz w:val="22"/>
          <w:szCs w:val="22"/>
          <w:highlight w:val="none"/>
          <w:lang w:val="en-US" w:eastAsia="zh-CN"/>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 xml:space="preserve">. </w:t>
      </w:r>
      <w:r>
        <w:rPr>
          <w:rFonts w:hint="eastAsia" w:ascii="宋体" w:hAnsi="宋体" w:eastAsia="宋体" w:cs="宋体"/>
          <w:b/>
          <w:bCs/>
          <w:color w:val="auto"/>
          <w:kern w:val="2"/>
          <w:sz w:val="22"/>
          <w:szCs w:val="22"/>
          <w:highlight w:val="none"/>
          <w:lang w:val="en-US" w:eastAsia="zh-CN"/>
        </w:rPr>
        <w:t xml:space="preserve">  投标人综合能力要求</w:t>
      </w:r>
    </w:p>
    <w:p w14:paraId="3A0E6D52">
      <w:pPr>
        <w:keepNext w:val="0"/>
        <w:keepLines w:val="0"/>
        <w:pageBreakBefore w:val="0"/>
        <w:widowControl w:val="0"/>
        <w:kinsoku/>
        <w:wordWrap/>
        <w:overflowPunct/>
        <w:topLinePunct w:val="0"/>
        <w:autoSpaceDE w:val="0"/>
        <w:autoSpaceDN w:val="0"/>
        <w:bidi w:val="0"/>
        <w:adjustRightInd/>
        <w:snapToGrid/>
        <w:spacing w:line="440" w:lineRule="exact"/>
        <w:ind w:left="550" w:hanging="550" w:hangingChars="250"/>
        <w:textAlignment w:val="auto"/>
        <w:rPr>
          <w:rFonts w:hint="eastAsia" w:ascii="宋体" w:hAnsi="宋体" w:eastAsia="宋体" w:cs="宋体"/>
          <w:bCs/>
          <w:color w:val="auto"/>
          <w:sz w:val="22"/>
          <w:szCs w:val="22"/>
          <w:highlight w:val="none"/>
          <w:lang w:val="en-US" w:eastAsia="zh-CN" w:bidi="ar-SA"/>
        </w:rPr>
      </w:pPr>
      <w:r>
        <w:rPr>
          <w:rFonts w:hint="eastAsia" w:ascii="宋体" w:hAnsi="宋体" w:eastAsia="宋体" w:cs="宋体"/>
          <w:bCs/>
          <w:color w:val="auto"/>
          <w:sz w:val="22"/>
          <w:szCs w:val="22"/>
          <w:highlight w:val="none"/>
          <w:lang w:val="en-US" w:eastAsia="zh-CN" w:bidi="ar-SA"/>
        </w:rPr>
        <w:t>3.1  投标人或</w:t>
      </w:r>
      <w:r>
        <w:rPr>
          <w:rFonts w:hint="eastAsia" w:ascii="宋体" w:hAnsi="宋体" w:cs="宋体"/>
          <w:bCs/>
          <w:color w:val="auto"/>
          <w:sz w:val="22"/>
          <w:szCs w:val="22"/>
          <w:highlight w:val="none"/>
          <w:lang w:val="en-US" w:eastAsia="zh-CN" w:bidi="ar-SA"/>
        </w:rPr>
        <w:t>（</w:t>
      </w:r>
      <w:r>
        <w:rPr>
          <w:rFonts w:hint="eastAsia" w:ascii="宋体" w:hAnsi="宋体" w:eastAsia="宋体" w:cs="宋体"/>
          <w:bCs/>
          <w:color w:val="auto"/>
          <w:sz w:val="22"/>
          <w:szCs w:val="22"/>
          <w:highlight w:val="none"/>
          <w:lang w:val="en-US" w:eastAsia="zh-CN" w:bidi="ar-SA"/>
        </w:rPr>
        <w:t>合作方）能够对接哈萨克斯坦教育部或其下属职业教育管理机构</w:t>
      </w:r>
      <w:r>
        <w:rPr>
          <w:rFonts w:hint="eastAsia" w:ascii="宋体" w:hAnsi="宋体" w:cs="宋体"/>
          <w:bCs/>
          <w:color w:val="auto"/>
          <w:sz w:val="22"/>
          <w:szCs w:val="22"/>
          <w:highlight w:val="none"/>
          <w:lang w:val="en-US" w:eastAsia="zh-CN" w:bidi="ar-SA"/>
        </w:rPr>
        <w:t>、能够对接职业技术学校和高等院校</w:t>
      </w:r>
      <w:r>
        <w:rPr>
          <w:rFonts w:hint="eastAsia" w:ascii="宋体" w:hAnsi="宋体" w:eastAsia="宋体" w:cs="宋体"/>
          <w:bCs/>
          <w:color w:val="auto"/>
          <w:sz w:val="22"/>
          <w:szCs w:val="22"/>
          <w:highlight w:val="none"/>
          <w:lang w:val="en-US" w:eastAsia="zh-CN" w:bidi="ar-SA"/>
        </w:rPr>
        <w:t>。</w:t>
      </w:r>
    </w:p>
    <w:p w14:paraId="47DC500A">
      <w:pPr>
        <w:keepNext w:val="0"/>
        <w:keepLines w:val="0"/>
        <w:pageBreakBefore w:val="0"/>
        <w:widowControl w:val="0"/>
        <w:kinsoku/>
        <w:wordWrap/>
        <w:overflowPunct/>
        <w:topLinePunct w:val="0"/>
        <w:autoSpaceDE w:val="0"/>
        <w:autoSpaceDN w:val="0"/>
        <w:bidi w:val="0"/>
        <w:adjustRightInd/>
        <w:snapToGrid/>
        <w:spacing w:line="440" w:lineRule="exact"/>
        <w:ind w:left="550" w:hanging="550" w:hangingChars="250"/>
        <w:textAlignment w:val="auto"/>
        <w:rPr>
          <w:rFonts w:hint="eastAsia" w:ascii="宋体" w:hAnsi="宋体" w:eastAsia="宋体" w:cs="宋体"/>
          <w:bCs/>
          <w:color w:val="auto"/>
          <w:sz w:val="22"/>
          <w:szCs w:val="22"/>
          <w:highlight w:val="none"/>
          <w:lang w:val="en-US" w:eastAsia="zh-CN" w:bidi="ar-SA"/>
        </w:rPr>
      </w:pPr>
      <w:r>
        <w:rPr>
          <w:rFonts w:hint="eastAsia" w:ascii="宋体" w:hAnsi="宋体" w:eastAsia="宋体" w:cs="宋体"/>
          <w:bCs/>
          <w:color w:val="auto"/>
          <w:sz w:val="22"/>
          <w:szCs w:val="22"/>
          <w:highlight w:val="none"/>
          <w:lang w:val="en-US" w:eastAsia="zh-CN" w:bidi="ar-SA"/>
        </w:rPr>
        <w:t>3.2  投标人具备组织</w:t>
      </w:r>
      <w:r>
        <w:rPr>
          <w:rFonts w:hint="eastAsia" w:ascii="宋体" w:hAnsi="宋体" w:cs="宋体"/>
          <w:bCs/>
          <w:color w:val="auto"/>
          <w:sz w:val="22"/>
          <w:szCs w:val="22"/>
          <w:highlight w:val="none"/>
          <w:lang w:val="en-US" w:eastAsia="zh-CN" w:bidi="ar-SA"/>
        </w:rPr>
        <w:t>交付</w:t>
      </w:r>
      <w:r>
        <w:rPr>
          <w:rFonts w:hint="eastAsia" w:ascii="宋体" w:hAnsi="宋体" w:eastAsia="宋体" w:cs="宋体"/>
          <w:bCs/>
          <w:color w:val="auto"/>
          <w:sz w:val="22"/>
          <w:szCs w:val="22"/>
          <w:highlight w:val="none"/>
          <w:lang w:val="en-US" w:eastAsia="zh-CN" w:bidi="ar-SA"/>
        </w:rPr>
        <w:t>海外教师及企业员工培训经验。</w:t>
      </w:r>
    </w:p>
    <w:p w14:paraId="572C1E50">
      <w:pPr>
        <w:keepNext w:val="0"/>
        <w:keepLines w:val="0"/>
        <w:pageBreakBefore w:val="0"/>
        <w:widowControl w:val="0"/>
        <w:kinsoku/>
        <w:wordWrap/>
        <w:overflowPunct/>
        <w:topLinePunct w:val="0"/>
        <w:autoSpaceDE w:val="0"/>
        <w:autoSpaceDN w:val="0"/>
        <w:bidi w:val="0"/>
        <w:adjustRightInd/>
        <w:snapToGrid/>
        <w:spacing w:line="440" w:lineRule="exact"/>
        <w:ind w:left="550" w:hanging="550" w:hangingChars="250"/>
        <w:textAlignment w:val="auto"/>
        <w:rPr>
          <w:rFonts w:hint="default" w:ascii="宋体" w:hAnsi="宋体" w:eastAsia="宋体" w:cs="宋体"/>
          <w:bCs/>
          <w:color w:val="auto"/>
          <w:sz w:val="22"/>
          <w:szCs w:val="22"/>
          <w:highlight w:val="none"/>
          <w:lang w:val="en-US" w:eastAsia="zh-CN" w:bidi="ar-SA"/>
        </w:rPr>
      </w:pPr>
      <w:r>
        <w:rPr>
          <w:rFonts w:hint="eastAsia" w:ascii="宋体" w:hAnsi="宋体" w:cs="宋体"/>
          <w:bCs/>
          <w:color w:val="auto"/>
          <w:sz w:val="22"/>
          <w:szCs w:val="22"/>
          <w:highlight w:val="none"/>
          <w:lang w:val="en-US" w:eastAsia="zh-CN" w:bidi="ar-SA"/>
        </w:rPr>
        <w:t>3.3  投</w:t>
      </w:r>
      <w:r>
        <w:rPr>
          <w:rFonts w:hint="eastAsia" w:ascii="宋体" w:hAnsi="宋体" w:eastAsia="宋体" w:cs="宋体"/>
          <w:bCs/>
          <w:color w:val="auto"/>
          <w:sz w:val="22"/>
          <w:szCs w:val="22"/>
          <w:highlight w:val="none"/>
          <w:lang w:val="en-US" w:eastAsia="zh-CN" w:bidi="ar-SA"/>
        </w:rPr>
        <w:t>标人具备支撑金砖国家职业技能大赛、一带一路暨金砖国家技能发展与技术创新大赛</w:t>
      </w:r>
      <w:r>
        <w:rPr>
          <w:rFonts w:hint="eastAsia" w:ascii="宋体" w:hAnsi="宋体" w:cs="宋体"/>
          <w:bCs/>
          <w:color w:val="auto"/>
          <w:sz w:val="22"/>
          <w:szCs w:val="22"/>
          <w:highlight w:val="none"/>
          <w:lang w:val="en-US" w:eastAsia="zh-CN" w:bidi="ar-SA"/>
        </w:rPr>
        <w:t>等经验。</w:t>
      </w:r>
    </w:p>
    <w:p w14:paraId="3CEF59C9">
      <w:pPr>
        <w:keepNext w:val="0"/>
        <w:keepLines w:val="0"/>
        <w:pageBreakBefore w:val="0"/>
        <w:widowControl w:val="0"/>
        <w:kinsoku/>
        <w:wordWrap/>
        <w:overflowPunct/>
        <w:topLinePunct w:val="0"/>
        <w:autoSpaceDE w:val="0"/>
        <w:autoSpaceDN w:val="0"/>
        <w:bidi w:val="0"/>
        <w:adjustRightInd/>
        <w:snapToGrid/>
        <w:spacing w:line="440" w:lineRule="exact"/>
        <w:ind w:left="550" w:hanging="550" w:hangingChars="250"/>
        <w:textAlignment w:val="auto"/>
        <w:rPr>
          <w:rFonts w:hint="eastAsia" w:ascii="宋体" w:hAnsi="宋体" w:eastAsia="宋体" w:cs="宋体"/>
          <w:bCs/>
          <w:color w:val="auto"/>
          <w:sz w:val="22"/>
          <w:szCs w:val="22"/>
          <w:highlight w:val="none"/>
          <w:lang w:val="en-US" w:eastAsia="zh-CN" w:bidi="ar-SA"/>
        </w:rPr>
      </w:pPr>
      <w:r>
        <w:rPr>
          <w:rFonts w:hint="eastAsia" w:ascii="宋体" w:hAnsi="宋体" w:eastAsia="宋体" w:cs="宋体"/>
          <w:bCs/>
          <w:color w:val="auto"/>
          <w:sz w:val="22"/>
          <w:szCs w:val="22"/>
          <w:highlight w:val="none"/>
          <w:lang w:val="en-US" w:eastAsia="zh-CN" w:bidi="ar-SA"/>
        </w:rPr>
        <w:t>3.</w:t>
      </w:r>
      <w:r>
        <w:rPr>
          <w:rFonts w:hint="eastAsia" w:ascii="宋体" w:hAnsi="宋体" w:cs="宋体"/>
          <w:bCs/>
          <w:color w:val="auto"/>
          <w:sz w:val="22"/>
          <w:szCs w:val="22"/>
          <w:highlight w:val="none"/>
          <w:lang w:val="en-US" w:eastAsia="zh-CN" w:bidi="ar-SA"/>
        </w:rPr>
        <w:t>4</w:t>
      </w:r>
      <w:r>
        <w:rPr>
          <w:rFonts w:hint="eastAsia" w:ascii="宋体" w:hAnsi="宋体" w:eastAsia="宋体" w:cs="宋体"/>
          <w:bCs/>
          <w:color w:val="auto"/>
          <w:sz w:val="22"/>
          <w:szCs w:val="22"/>
          <w:highlight w:val="none"/>
          <w:lang w:val="en-US" w:eastAsia="zh-CN" w:bidi="ar-SA"/>
        </w:rPr>
        <w:t xml:space="preserve">  投标人应具有稳定长期的合作伙伴，在哈萨克斯坦拥有稳定资源，能够在中资企业工业园推动建立与专业相关的实践基地。</w:t>
      </w:r>
    </w:p>
    <w:p w14:paraId="1D75E0FE">
      <w:pPr>
        <w:keepNext w:val="0"/>
        <w:keepLines w:val="0"/>
        <w:pageBreakBefore w:val="0"/>
        <w:widowControl w:val="0"/>
        <w:kinsoku/>
        <w:wordWrap/>
        <w:overflowPunct/>
        <w:topLinePunct w:val="0"/>
        <w:autoSpaceDE w:val="0"/>
        <w:autoSpaceDN w:val="0"/>
        <w:bidi w:val="0"/>
        <w:adjustRightInd/>
        <w:snapToGrid/>
        <w:spacing w:line="440" w:lineRule="exact"/>
        <w:ind w:left="550" w:hanging="550" w:hangingChars="250"/>
        <w:textAlignment w:val="auto"/>
        <w:rPr>
          <w:rFonts w:hint="eastAsia" w:ascii="宋体" w:hAnsi="宋体" w:eastAsia="宋体" w:cs="宋体"/>
          <w:bCs/>
          <w:color w:val="auto"/>
          <w:sz w:val="22"/>
          <w:szCs w:val="22"/>
          <w:highlight w:val="none"/>
          <w:lang w:val="en-US" w:eastAsia="zh-CN" w:bidi="ar-SA"/>
        </w:rPr>
      </w:pPr>
      <w:r>
        <w:rPr>
          <w:rFonts w:hint="eastAsia" w:ascii="宋体" w:hAnsi="宋体" w:eastAsia="宋体" w:cs="宋体"/>
          <w:bCs/>
          <w:color w:val="auto"/>
          <w:sz w:val="22"/>
          <w:szCs w:val="22"/>
          <w:highlight w:val="none"/>
          <w:lang w:val="en-US" w:eastAsia="zh-CN" w:bidi="ar-SA"/>
        </w:rPr>
        <w:t>3.</w:t>
      </w:r>
      <w:r>
        <w:rPr>
          <w:rFonts w:hint="eastAsia" w:ascii="宋体" w:hAnsi="宋体" w:cs="宋体"/>
          <w:bCs/>
          <w:color w:val="auto"/>
          <w:sz w:val="22"/>
          <w:szCs w:val="22"/>
          <w:highlight w:val="none"/>
          <w:lang w:val="en-US" w:eastAsia="zh-CN" w:bidi="ar-SA"/>
        </w:rPr>
        <w:t>5</w:t>
      </w:r>
      <w:r>
        <w:rPr>
          <w:rFonts w:hint="eastAsia" w:ascii="宋体" w:hAnsi="宋体" w:eastAsia="宋体" w:cs="宋体"/>
          <w:bCs/>
          <w:color w:val="auto"/>
          <w:sz w:val="22"/>
          <w:szCs w:val="22"/>
          <w:highlight w:val="none"/>
          <w:lang w:val="en-US" w:eastAsia="zh-CN" w:bidi="ar-SA"/>
        </w:rPr>
        <w:t xml:space="preserve">  投标人（或合作方）能够为合作办学的学生在哈萨克斯坦中方安防类头部企业提供就业渠道，出具接收学生实践的就业意愿书。</w:t>
      </w:r>
    </w:p>
    <w:p w14:paraId="04C3A6A2">
      <w:pPr>
        <w:keepNext w:val="0"/>
        <w:keepLines w:val="0"/>
        <w:pageBreakBefore w:val="0"/>
        <w:widowControl w:val="0"/>
        <w:kinsoku/>
        <w:wordWrap/>
        <w:overflowPunct/>
        <w:topLinePunct w:val="0"/>
        <w:autoSpaceDE w:val="0"/>
        <w:autoSpaceDN w:val="0"/>
        <w:bidi w:val="0"/>
        <w:adjustRightInd/>
        <w:snapToGrid/>
        <w:spacing w:line="440" w:lineRule="exact"/>
        <w:ind w:left="550" w:hanging="550" w:hangingChars="250"/>
        <w:textAlignment w:val="auto"/>
        <w:rPr>
          <w:rFonts w:hint="eastAsia" w:ascii="宋体" w:hAnsi="宋体" w:eastAsia="宋体" w:cs="宋体"/>
          <w:bCs/>
          <w:color w:val="auto"/>
          <w:sz w:val="22"/>
          <w:szCs w:val="22"/>
          <w:highlight w:val="none"/>
          <w:lang w:val="en-US" w:eastAsia="zh-CN" w:bidi="ar-SA"/>
        </w:rPr>
      </w:pPr>
      <w:r>
        <w:rPr>
          <w:rFonts w:hint="eastAsia" w:ascii="宋体" w:hAnsi="宋体" w:eastAsia="宋体" w:cs="宋体"/>
          <w:bCs/>
          <w:color w:val="auto"/>
          <w:sz w:val="22"/>
          <w:szCs w:val="22"/>
          <w:highlight w:val="none"/>
          <w:lang w:val="en-US" w:eastAsia="zh-CN" w:bidi="ar-SA"/>
        </w:rPr>
        <w:t>3.</w:t>
      </w:r>
      <w:r>
        <w:rPr>
          <w:rFonts w:hint="eastAsia" w:ascii="宋体" w:hAnsi="宋体" w:cs="宋体"/>
          <w:bCs/>
          <w:color w:val="auto"/>
          <w:sz w:val="22"/>
          <w:szCs w:val="22"/>
          <w:highlight w:val="none"/>
          <w:lang w:val="en-US" w:eastAsia="zh-CN" w:bidi="ar-SA"/>
        </w:rPr>
        <w:t>6</w:t>
      </w:r>
      <w:r>
        <w:rPr>
          <w:rFonts w:hint="eastAsia" w:ascii="宋体" w:hAnsi="宋体" w:eastAsia="宋体" w:cs="宋体"/>
          <w:bCs/>
          <w:color w:val="auto"/>
          <w:sz w:val="22"/>
          <w:szCs w:val="22"/>
          <w:highlight w:val="none"/>
          <w:lang w:val="en-US" w:eastAsia="zh-CN" w:bidi="ar-SA"/>
        </w:rPr>
        <w:t xml:space="preserve">  投标人</w:t>
      </w:r>
      <w:r>
        <w:rPr>
          <w:rFonts w:hint="eastAsia" w:ascii="宋体" w:hAnsi="宋体" w:cs="宋体"/>
          <w:bCs/>
          <w:color w:val="auto"/>
          <w:sz w:val="22"/>
          <w:szCs w:val="22"/>
          <w:highlight w:val="none"/>
          <w:lang w:val="en-US" w:eastAsia="zh-CN" w:bidi="ar-SA"/>
        </w:rPr>
        <w:t>团队须至少</w:t>
      </w:r>
      <w:r>
        <w:rPr>
          <w:rFonts w:hint="eastAsia" w:ascii="宋体" w:hAnsi="宋体" w:eastAsia="宋体" w:cs="宋体"/>
          <w:i w:val="0"/>
          <w:iCs w:val="0"/>
          <w:color w:val="auto"/>
          <w:kern w:val="0"/>
          <w:sz w:val="22"/>
          <w:szCs w:val="22"/>
          <w:highlight w:val="none"/>
          <w:u w:val="none"/>
          <w:lang w:val="en-US" w:eastAsia="zh-CN" w:bidi="ar"/>
        </w:rPr>
        <w:t>配备2名具备哈萨克语、俄语、中文三语沟通能力</w:t>
      </w:r>
      <w:r>
        <w:rPr>
          <w:rFonts w:hint="eastAsia" w:ascii="宋体" w:hAnsi="宋体" w:cs="宋体"/>
          <w:i w:val="0"/>
          <w:iCs w:val="0"/>
          <w:color w:val="auto"/>
          <w:kern w:val="0"/>
          <w:sz w:val="22"/>
          <w:szCs w:val="22"/>
          <w:highlight w:val="none"/>
          <w:u w:val="none"/>
          <w:lang w:val="en-US" w:eastAsia="zh-CN" w:bidi="ar"/>
        </w:rPr>
        <w:t>的人员</w:t>
      </w:r>
      <w:r>
        <w:rPr>
          <w:rFonts w:hint="eastAsia" w:ascii="宋体" w:hAnsi="宋体" w:eastAsia="宋体" w:cs="宋体"/>
          <w:bCs/>
          <w:color w:val="auto"/>
          <w:sz w:val="22"/>
          <w:szCs w:val="22"/>
          <w:highlight w:val="none"/>
          <w:lang w:val="en-US" w:eastAsia="zh-CN" w:bidi="ar-SA"/>
        </w:rPr>
        <w:t>。</w:t>
      </w:r>
    </w:p>
    <w:p w14:paraId="4F35451C">
      <w:pPr>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lang w:val="en-US" w:eastAsia="zh-CN"/>
        </w:rPr>
        <w:t>4</w:t>
      </w:r>
      <w:r>
        <w:rPr>
          <w:rFonts w:hint="eastAsia" w:ascii="宋体" w:hAnsi="宋体" w:cs="宋体"/>
          <w:b/>
          <w:color w:val="auto"/>
          <w:sz w:val="22"/>
          <w:szCs w:val="22"/>
          <w:highlight w:val="none"/>
        </w:rPr>
        <w:t xml:space="preserve">. </w:t>
      </w:r>
      <w:r>
        <w:rPr>
          <w:rFonts w:hint="eastAsia" w:ascii="宋体" w:hAnsi="宋体" w:cs="宋体"/>
          <w:b/>
          <w:bCs/>
          <w:color w:val="auto"/>
          <w:sz w:val="22"/>
          <w:szCs w:val="28"/>
          <w:highlight w:val="none"/>
        </w:rPr>
        <w:t>商务要求（技术参数里另有注明的以技术参数为准）</w:t>
      </w:r>
    </w:p>
    <w:tbl>
      <w:tblPr>
        <w:tblStyle w:val="39"/>
        <w:tblW w:w="98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48"/>
        <w:gridCol w:w="8196"/>
      </w:tblGrid>
      <w:tr w14:paraId="7E963E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64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4C6E43D">
            <w:pPr>
              <w:spacing w:line="360" w:lineRule="exact"/>
              <w:jc w:val="center"/>
              <w:rPr>
                <w:rFonts w:ascii="宋体" w:hAnsi="宋体" w:cs="宋体"/>
                <w:b/>
                <w:bCs/>
                <w:color w:val="auto"/>
                <w:sz w:val="22"/>
                <w:szCs w:val="22"/>
                <w:highlight w:val="none"/>
              </w:rPr>
            </w:pPr>
            <w:bookmarkStart w:id="208" w:name="_Hlk51759376"/>
            <w:r>
              <w:rPr>
                <w:rFonts w:hint="eastAsia" w:ascii="宋体" w:hAnsi="宋体" w:cs="宋体"/>
                <w:b/>
                <w:color w:val="auto"/>
                <w:sz w:val="22"/>
                <w:szCs w:val="22"/>
                <w:highlight w:val="none"/>
                <w:u w:val="single"/>
              </w:rPr>
              <w:t>▲</w:t>
            </w:r>
            <w:r>
              <w:rPr>
                <w:rFonts w:hint="eastAsia" w:ascii="宋体" w:hAnsi="宋体" w:cs="宋体"/>
                <w:b/>
                <w:bCs/>
                <w:color w:val="auto"/>
                <w:sz w:val="22"/>
                <w:szCs w:val="22"/>
                <w:highlight w:val="none"/>
                <w:u w:val="single"/>
              </w:rPr>
              <w:t>支付方式</w:t>
            </w:r>
          </w:p>
        </w:tc>
        <w:tc>
          <w:tcPr>
            <w:tcW w:w="819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AB8F140">
            <w:pPr>
              <w:widowControl/>
              <w:spacing w:line="360" w:lineRule="exact"/>
              <w:jc w:val="left"/>
              <w:rPr>
                <w:rFonts w:ascii="宋体" w:hAnsi="宋体" w:cs="宋体"/>
                <w:bCs/>
                <w:snapToGrid w:val="0"/>
                <w:color w:val="auto"/>
                <w:sz w:val="22"/>
                <w:szCs w:val="22"/>
                <w:highlight w:val="none"/>
              </w:rPr>
            </w:pPr>
            <w:r>
              <w:rPr>
                <w:rFonts w:hint="eastAsia" w:ascii="宋体" w:hAnsi="宋体" w:cs="宋体"/>
                <w:bCs/>
                <w:snapToGrid w:val="0"/>
                <w:color w:val="auto"/>
                <w:sz w:val="22"/>
                <w:szCs w:val="22"/>
                <w:highlight w:val="none"/>
              </w:rPr>
              <w:t>1、履约保证金：中标人在合同签订后7个工作日内，支付给采购人合同金额</w:t>
            </w:r>
            <w:r>
              <w:rPr>
                <w:rFonts w:hint="eastAsia" w:ascii="宋体" w:hAnsi="宋体" w:cs="宋体"/>
                <w:bCs/>
                <w:snapToGrid w:val="0"/>
                <w:color w:val="auto"/>
                <w:sz w:val="22"/>
                <w:szCs w:val="22"/>
                <w:highlight w:val="none"/>
                <w:u w:val="single"/>
              </w:rPr>
              <w:t xml:space="preserve">1 </w:t>
            </w:r>
            <w:r>
              <w:rPr>
                <w:rFonts w:hint="eastAsia" w:ascii="宋体" w:hAnsi="宋体" w:cs="宋体"/>
                <w:bCs/>
                <w:snapToGrid w:val="0"/>
                <w:color w:val="auto"/>
                <w:sz w:val="22"/>
                <w:szCs w:val="22"/>
                <w:highlight w:val="none"/>
              </w:rPr>
              <w:t>%作为履约保证金（接受支票、汇票、本票、履约保函等多种非现金形式）。在合同履行期内中标人违约的，在履约保证金内先扣除中标人应承担的违约金。中标人没有违约或扣除违约金后有剩余的，履约保证金在</w:t>
            </w:r>
            <w:r>
              <w:rPr>
                <w:rFonts w:hint="eastAsia" w:ascii="宋体" w:hAnsi="宋体" w:cs="宋体"/>
                <w:bCs/>
                <w:snapToGrid w:val="0"/>
                <w:color w:val="auto"/>
                <w:sz w:val="22"/>
                <w:szCs w:val="22"/>
                <w:highlight w:val="none"/>
                <w:lang w:eastAsia="zh-CN"/>
              </w:rPr>
              <w:t>中标人</w:t>
            </w:r>
            <w:r>
              <w:rPr>
                <w:rFonts w:hint="eastAsia" w:ascii="宋体" w:hAnsi="宋体" w:cs="宋体"/>
                <w:bCs/>
                <w:snapToGrid w:val="0"/>
                <w:color w:val="auto"/>
                <w:sz w:val="22"/>
                <w:szCs w:val="22"/>
                <w:highlight w:val="none"/>
              </w:rPr>
              <w:t>履约验收合格后5个工作日内无息返还。</w:t>
            </w:r>
          </w:p>
          <w:p w14:paraId="3C9A3B0E">
            <w:pPr>
              <w:widowControl/>
              <w:spacing w:line="360" w:lineRule="exact"/>
              <w:jc w:val="left"/>
              <w:rPr>
                <w:rFonts w:ascii="宋体" w:hAnsi="宋体" w:cs="宋体"/>
                <w:color w:val="auto"/>
                <w:sz w:val="22"/>
                <w:szCs w:val="22"/>
                <w:highlight w:val="none"/>
                <w:u w:val="single"/>
                <w:lang w:val="zh-CN"/>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合同生效以及具备实施条件并待财政资金到位后7个工作日内采购人</w:t>
            </w:r>
            <w:r>
              <w:rPr>
                <w:rFonts w:hint="eastAsia" w:ascii="宋体" w:hAnsi="宋体" w:cs="宋体"/>
                <w:color w:val="auto"/>
                <w:sz w:val="22"/>
                <w:szCs w:val="22"/>
                <w:highlight w:val="none"/>
                <w:lang w:val="zh-CN" w:eastAsia="zh-CN"/>
              </w:rPr>
              <w:t>向</w:t>
            </w:r>
            <w:r>
              <w:rPr>
                <w:rFonts w:hint="eastAsia" w:ascii="宋体" w:hAnsi="宋体" w:cs="宋体"/>
                <w:color w:val="auto"/>
                <w:sz w:val="22"/>
                <w:szCs w:val="22"/>
                <w:highlight w:val="none"/>
                <w:lang w:val="en-US" w:eastAsia="zh-CN"/>
              </w:rPr>
              <w:t>中标人</w:t>
            </w:r>
            <w:r>
              <w:rPr>
                <w:rFonts w:hint="eastAsia" w:ascii="宋体" w:hAnsi="宋体" w:cs="宋体"/>
                <w:color w:val="auto"/>
                <w:sz w:val="22"/>
                <w:szCs w:val="22"/>
                <w:highlight w:val="none"/>
                <w:lang w:val="zh-CN" w:eastAsia="zh-CN"/>
              </w:rPr>
              <w:t>支付合同总价的</w:t>
            </w:r>
            <w:r>
              <w:rPr>
                <w:rFonts w:hint="eastAsia" w:ascii="宋体" w:hAnsi="宋体" w:cs="宋体"/>
                <w:color w:val="auto"/>
                <w:sz w:val="22"/>
                <w:szCs w:val="22"/>
                <w:highlight w:val="none"/>
                <w:lang w:val="en-US" w:eastAsia="zh-CN"/>
              </w:rPr>
              <w:t>40</w:t>
            </w:r>
            <w:r>
              <w:rPr>
                <w:rFonts w:hint="eastAsia" w:ascii="宋体" w:hAnsi="宋体" w:cs="宋体"/>
                <w:color w:val="auto"/>
                <w:sz w:val="22"/>
                <w:szCs w:val="22"/>
                <w:highlight w:val="none"/>
                <w:lang w:val="zh-CN" w:eastAsia="zh-CN"/>
              </w:rPr>
              <w:t>%</w:t>
            </w:r>
            <w:r>
              <w:rPr>
                <w:rFonts w:hint="eastAsia" w:ascii="宋体" w:hAnsi="宋体" w:cs="宋体"/>
                <w:color w:val="auto"/>
                <w:sz w:val="22"/>
                <w:szCs w:val="22"/>
                <w:highlight w:val="none"/>
              </w:rPr>
              <w:t>作为预付款；</w:t>
            </w:r>
            <w:r>
              <w:rPr>
                <w:rFonts w:hint="eastAsia" w:ascii="宋体" w:hAnsi="宋体" w:cs="宋体"/>
                <w:color w:val="auto"/>
                <w:sz w:val="22"/>
                <w:szCs w:val="22"/>
                <w:highlight w:val="none"/>
                <w:lang w:val="en-US" w:eastAsia="zh-CN"/>
              </w:rPr>
              <w:t>在合作院校签约仪式和揭牌仪式</w:t>
            </w:r>
            <w:r>
              <w:rPr>
                <w:rFonts w:hint="eastAsia" w:ascii="宋体" w:hAnsi="宋体" w:cs="宋体"/>
                <w:color w:val="auto"/>
                <w:sz w:val="22"/>
                <w:szCs w:val="22"/>
                <w:highlight w:val="none"/>
                <w:lang w:val="zh-CN" w:eastAsia="zh-CN"/>
              </w:rPr>
              <w:t>后，</w:t>
            </w:r>
            <w:r>
              <w:rPr>
                <w:rFonts w:hint="eastAsia" w:ascii="宋体" w:hAnsi="宋体" w:cs="宋体"/>
                <w:color w:val="auto"/>
                <w:sz w:val="22"/>
                <w:szCs w:val="22"/>
                <w:highlight w:val="none"/>
                <w:lang w:val="en-US" w:eastAsia="zh-CN"/>
              </w:rPr>
              <w:t>自收到发票后7个工作日内</w:t>
            </w:r>
            <w:r>
              <w:rPr>
                <w:rFonts w:hint="eastAsia" w:ascii="宋体" w:hAnsi="宋体" w:cs="宋体"/>
                <w:color w:val="auto"/>
                <w:sz w:val="22"/>
                <w:szCs w:val="22"/>
                <w:highlight w:val="none"/>
                <w:lang w:val="zh-CN" w:eastAsia="zh-CN"/>
              </w:rPr>
              <w:t>采购人向中标人支付合同总价的</w:t>
            </w:r>
            <w:r>
              <w:rPr>
                <w:rFonts w:hint="eastAsia" w:ascii="宋体" w:hAnsi="宋体" w:cs="宋体"/>
                <w:color w:val="auto"/>
                <w:sz w:val="22"/>
                <w:szCs w:val="22"/>
                <w:highlight w:val="none"/>
                <w:lang w:val="en-US" w:eastAsia="zh-CN"/>
              </w:rPr>
              <w:t>45</w:t>
            </w:r>
            <w:r>
              <w:rPr>
                <w:rFonts w:hint="eastAsia" w:ascii="宋体" w:hAnsi="宋体" w:cs="宋体"/>
                <w:color w:val="auto"/>
                <w:sz w:val="22"/>
                <w:szCs w:val="22"/>
                <w:highlight w:val="none"/>
                <w:lang w:val="zh-CN" w:eastAsia="zh-CN"/>
              </w:rPr>
              <w:t>%</w:t>
            </w:r>
            <w:r>
              <w:rPr>
                <w:rFonts w:hint="eastAsia" w:ascii="宋体" w:hAnsi="宋体" w:cs="宋体"/>
                <w:color w:val="auto"/>
                <w:sz w:val="22"/>
                <w:szCs w:val="22"/>
                <w:highlight w:val="none"/>
                <w:lang w:val="en-US" w:eastAsia="zh-CN"/>
              </w:rPr>
              <w:t>作为进度款，全部项目验收合格且收到中标人开具的全额正式发票后7个工作日内</w:t>
            </w:r>
            <w:r>
              <w:rPr>
                <w:rFonts w:hint="eastAsia" w:ascii="宋体" w:hAnsi="宋体" w:cs="宋体"/>
                <w:color w:val="auto"/>
                <w:sz w:val="22"/>
                <w:szCs w:val="22"/>
                <w:highlight w:val="none"/>
                <w:lang w:val="zh-CN" w:eastAsia="zh-CN"/>
              </w:rPr>
              <w:t>，</w:t>
            </w:r>
            <w:r>
              <w:rPr>
                <w:rFonts w:hint="eastAsia" w:ascii="宋体" w:hAnsi="宋体" w:cs="宋体"/>
                <w:color w:val="auto"/>
                <w:sz w:val="22"/>
                <w:szCs w:val="22"/>
                <w:highlight w:val="none"/>
                <w:lang w:val="en-US" w:eastAsia="zh-CN"/>
              </w:rPr>
              <w:t>采购人</w:t>
            </w:r>
            <w:r>
              <w:rPr>
                <w:rFonts w:hint="eastAsia" w:ascii="宋体" w:hAnsi="宋体" w:cs="宋体"/>
                <w:color w:val="auto"/>
                <w:sz w:val="22"/>
                <w:szCs w:val="22"/>
                <w:highlight w:val="none"/>
                <w:lang w:val="zh-CN" w:eastAsia="zh-CN"/>
              </w:rPr>
              <w:t>向</w:t>
            </w:r>
            <w:r>
              <w:rPr>
                <w:rFonts w:hint="eastAsia" w:ascii="宋体" w:hAnsi="宋体" w:cs="宋体"/>
                <w:color w:val="auto"/>
                <w:sz w:val="22"/>
                <w:szCs w:val="22"/>
                <w:highlight w:val="none"/>
                <w:lang w:val="en-US" w:eastAsia="zh-CN"/>
              </w:rPr>
              <w:t>中标人</w:t>
            </w:r>
            <w:r>
              <w:rPr>
                <w:rFonts w:hint="eastAsia" w:ascii="宋体" w:hAnsi="宋体" w:cs="宋体"/>
                <w:color w:val="auto"/>
                <w:sz w:val="22"/>
                <w:szCs w:val="22"/>
                <w:highlight w:val="none"/>
                <w:lang w:val="zh-CN" w:eastAsia="zh-CN"/>
              </w:rPr>
              <w:t>支付合同总价的</w:t>
            </w:r>
            <w:r>
              <w:rPr>
                <w:rFonts w:hint="eastAsia" w:ascii="宋体" w:hAnsi="宋体" w:cs="宋体"/>
                <w:color w:val="auto"/>
                <w:sz w:val="22"/>
                <w:szCs w:val="22"/>
                <w:highlight w:val="none"/>
                <w:lang w:val="en-US" w:eastAsia="zh-CN"/>
              </w:rPr>
              <w:t>15</w:t>
            </w:r>
            <w:r>
              <w:rPr>
                <w:rFonts w:hint="eastAsia" w:ascii="宋体" w:hAnsi="宋体" w:cs="宋体"/>
                <w:color w:val="auto"/>
                <w:sz w:val="22"/>
                <w:szCs w:val="22"/>
                <w:highlight w:val="none"/>
                <w:lang w:val="zh-CN" w:eastAsia="zh-CN"/>
              </w:rPr>
              <w:t>%</w:t>
            </w:r>
            <w:r>
              <w:rPr>
                <w:rFonts w:hint="eastAsia" w:ascii="宋体" w:hAnsi="宋体" w:cs="宋体"/>
                <w:color w:val="auto"/>
                <w:sz w:val="22"/>
                <w:szCs w:val="22"/>
                <w:highlight w:val="none"/>
              </w:rPr>
              <w:t>。</w:t>
            </w:r>
          </w:p>
        </w:tc>
      </w:tr>
      <w:tr w14:paraId="3F5E0A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64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4BA8CB1">
            <w:pPr>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u w:val="none"/>
              </w:rPr>
              <w:t>交付时间</w:t>
            </w:r>
          </w:p>
        </w:tc>
        <w:tc>
          <w:tcPr>
            <w:tcW w:w="819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678855E">
            <w:pPr>
              <w:pStyle w:val="15"/>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详见采购内容各阶段实施进度，具体以合同约定为准</w:t>
            </w:r>
            <w:r>
              <w:rPr>
                <w:rFonts w:hint="eastAsia" w:ascii="宋体" w:hAnsi="宋体" w:cs="宋体"/>
                <w:color w:val="auto"/>
                <w:sz w:val="22"/>
                <w:szCs w:val="22"/>
                <w:highlight w:val="none"/>
              </w:rPr>
              <w:t>。</w:t>
            </w:r>
          </w:p>
        </w:tc>
      </w:tr>
      <w:tr w14:paraId="59EEF2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64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249C65">
            <w:pPr>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交付地点</w:t>
            </w:r>
          </w:p>
        </w:tc>
        <w:tc>
          <w:tcPr>
            <w:tcW w:w="819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D5497AD">
            <w:pPr>
              <w:pStyle w:val="15"/>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浙江安防职业技术学院</w:t>
            </w:r>
            <w:r>
              <w:rPr>
                <w:rFonts w:hint="eastAsia" w:ascii="宋体" w:hAnsi="宋体" w:cs="宋体"/>
                <w:color w:val="auto"/>
                <w:sz w:val="22"/>
                <w:szCs w:val="22"/>
                <w:highlight w:val="none"/>
                <w:lang w:val="en-US" w:eastAsia="zh-CN"/>
              </w:rPr>
              <w:t>指定地点</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具体以合同约定为准</w:t>
            </w:r>
            <w:r>
              <w:rPr>
                <w:rFonts w:hint="eastAsia" w:ascii="宋体" w:hAnsi="宋体" w:cs="宋体"/>
                <w:color w:val="auto"/>
                <w:sz w:val="22"/>
                <w:szCs w:val="22"/>
                <w:highlight w:val="none"/>
              </w:rPr>
              <w:t>。</w:t>
            </w:r>
          </w:p>
        </w:tc>
      </w:tr>
      <w:tr w14:paraId="10CEE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64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935E714">
            <w:pPr>
              <w:widowControl/>
              <w:adjustRightInd w:val="0"/>
              <w:snapToGrid w:val="0"/>
              <w:spacing w:line="400" w:lineRule="exact"/>
              <w:jc w:val="center"/>
              <w:rPr>
                <w:rFonts w:ascii="宋体" w:hAnsi="宋体" w:cs="宋体"/>
                <w:b/>
                <w:bCs/>
                <w:color w:val="auto"/>
                <w:sz w:val="22"/>
                <w:highlight w:val="none"/>
              </w:rPr>
            </w:pPr>
            <w:r>
              <w:rPr>
                <w:rFonts w:hint="eastAsia" w:ascii="宋体" w:hAnsi="宋体" w:cs="宋体"/>
                <w:b/>
                <w:bCs/>
                <w:color w:val="auto"/>
                <w:sz w:val="22"/>
                <w:highlight w:val="none"/>
              </w:rPr>
              <w:t>验收标准</w:t>
            </w:r>
          </w:p>
        </w:tc>
        <w:tc>
          <w:tcPr>
            <w:tcW w:w="819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8D14AFB">
            <w:pPr>
              <w:spacing w:line="400" w:lineRule="exact"/>
              <w:rPr>
                <w:rFonts w:ascii="宋体" w:hAnsi="宋体"/>
                <w:color w:val="auto"/>
                <w:sz w:val="22"/>
                <w:szCs w:val="22"/>
                <w:highlight w:val="none"/>
              </w:rPr>
            </w:pPr>
            <w:r>
              <w:rPr>
                <w:rFonts w:hint="eastAsia" w:ascii="宋体" w:hAnsi="宋体"/>
                <w:color w:val="auto"/>
                <w:sz w:val="22"/>
                <w:szCs w:val="22"/>
                <w:highlight w:val="none"/>
              </w:rPr>
              <w:t>1.合同履约验收参照《温州市政府采购履约验收办法》(温财采[2020]6号)相关规定。</w:t>
            </w:r>
          </w:p>
          <w:p w14:paraId="3DCC2138">
            <w:pPr>
              <w:spacing w:line="400" w:lineRule="exact"/>
              <w:rPr>
                <w:rFonts w:ascii="宋体" w:hAnsi="宋体"/>
                <w:color w:val="auto"/>
                <w:sz w:val="22"/>
                <w:szCs w:val="22"/>
                <w:highlight w:val="none"/>
              </w:rPr>
            </w:pPr>
            <w:r>
              <w:rPr>
                <w:rFonts w:hint="eastAsia" w:ascii="宋体" w:hAnsi="宋体"/>
                <w:color w:val="auto"/>
                <w:sz w:val="22"/>
                <w:szCs w:val="22"/>
                <w:highlight w:val="none"/>
              </w:rPr>
              <w:t>2.合同履约达到验收条件时，供应商按照合同约定向采购人书面发起验收申请，采购人或者其委托的采购代理机构（以下简称验收组织机构）在收到供应商验收申请五个工作日内启动项目验收，并书面通知供应商。技术复杂、专业性强或者重大民生、金额较大的项目验收准备时间，经政府采购合同双方当事人协商，可适当延长。</w:t>
            </w:r>
          </w:p>
          <w:p w14:paraId="296C97D3">
            <w:pPr>
              <w:spacing w:line="400" w:lineRule="exact"/>
              <w:rPr>
                <w:rFonts w:ascii="宋体" w:hAnsi="宋体"/>
                <w:color w:val="auto"/>
                <w:sz w:val="22"/>
                <w:szCs w:val="22"/>
                <w:highlight w:val="none"/>
              </w:rPr>
            </w:pPr>
            <w:r>
              <w:rPr>
                <w:rFonts w:hint="eastAsia" w:ascii="宋体" w:hAnsi="宋体"/>
                <w:color w:val="auto"/>
                <w:sz w:val="22"/>
                <w:szCs w:val="22"/>
                <w:highlight w:val="none"/>
              </w:rPr>
              <w:t>3.验收组织机构可以邀请参加项目采购活动的其他供应商或第三方专业机构及专家参与验收。验收组织机构应当按照招标文件、响应文件、采购合同、封存样品（如有）等约定的质量、数量、技术指标或者服务要求设置验收指标及其标准。未约定的，应当符合国家强制性规定、政策要求、安全标准、行业或企业有关标准等。</w:t>
            </w:r>
          </w:p>
          <w:p w14:paraId="4F41236E">
            <w:pPr>
              <w:pStyle w:val="15"/>
              <w:widowControl/>
              <w:adjustRightInd w:val="0"/>
              <w:snapToGrid w:val="0"/>
              <w:spacing w:line="400" w:lineRule="exact"/>
              <w:rPr>
                <w:rFonts w:ascii="宋体" w:hAnsi="宋体" w:cs="宋体"/>
                <w:color w:val="auto"/>
                <w:sz w:val="22"/>
                <w:szCs w:val="22"/>
                <w:highlight w:val="none"/>
              </w:rPr>
            </w:pPr>
            <w:r>
              <w:rPr>
                <w:rFonts w:hint="eastAsia" w:ascii="宋体" w:hAnsi="宋体"/>
                <w:color w:val="auto"/>
                <w:sz w:val="22"/>
                <w:szCs w:val="22"/>
                <w:highlight w:val="none"/>
              </w:rPr>
              <w:t>4.本项目履约验收费用5000元，包含在投标报价内，由中标人支付给第三方验收组织机构，如因供应商原因造成验收不通过的，所产生的验收费用重新计算。</w:t>
            </w:r>
          </w:p>
        </w:tc>
      </w:tr>
      <w:tr w14:paraId="611324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64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2AF5A7D">
            <w:pPr>
              <w:widowControl/>
              <w:adjustRightInd w:val="0"/>
              <w:snapToGrid w:val="0"/>
              <w:spacing w:line="400" w:lineRule="exact"/>
              <w:jc w:val="center"/>
              <w:rPr>
                <w:rFonts w:ascii="宋体" w:hAnsi="宋体" w:cs="宋体"/>
                <w:b/>
                <w:bCs/>
                <w:color w:val="auto"/>
                <w:sz w:val="22"/>
                <w:highlight w:val="none"/>
              </w:rPr>
            </w:pPr>
            <w:r>
              <w:rPr>
                <w:rFonts w:hint="eastAsia" w:ascii="宋体" w:hAnsi="宋体" w:cs="宋体"/>
                <w:b/>
                <w:bCs/>
                <w:color w:val="auto"/>
                <w:sz w:val="22"/>
                <w:highlight w:val="none"/>
              </w:rPr>
              <w:t>其他说明</w:t>
            </w:r>
          </w:p>
        </w:tc>
        <w:tc>
          <w:tcPr>
            <w:tcW w:w="819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D3B20DC">
            <w:pPr>
              <w:pStyle w:val="15"/>
              <w:widowControl/>
              <w:adjustRightInd w:val="0"/>
              <w:snapToGrid w:val="0"/>
              <w:spacing w:line="400" w:lineRule="exact"/>
              <w:rPr>
                <w:rFonts w:ascii="宋体" w:hAnsi="宋体" w:cs="宋体"/>
                <w:color w:val="auto"/>
                <w:sz w:val="22"/>
                <w:highlight w:val="none"/>
              </w:rPr>
            </w:pPr>
          </w:p>
        </w:tc>
      </w:tr>
      <w:bookmarkEnd w:id="208"/>
    </w:tbl>
    <w:p w14:paraId="556C8CAB">
      <w:pPr>
        <w:adjustRightInd w:val="0"/>
        <w:snapToGrid w:val="0"/>
        <w:spacing w:line="440" w:lineRule="exact"/>
        <w:rPr>
          <w:rFonts w:ascii="宋体" w:hAnsi="宋体"/>
          <w:color w:val="auto"/>
          <w:sz w:val="22"/>
          <w:highlight w:val="none"/>
        </w:rPr>
      </w:pPr>
    </w:p>
    <w:p w14:paraId="39059709">
      <w:pPr>
        <w:pStyle w:val="38"/>
        <w:ind w:left="420" w:firstLine="480"/>
        <w:rPr>
          <w:color w:val="auto"/>
          <w:highlight w:val="none"/>
        </w:rPr>
        <w:sectPr>
          <w:headerReference r:id="rId9" w:type="default"/>
          <w:footerReference r:id="rId10" w:type="default"/>
          <w:pgSz w:w="11906" w:h="16838"/>
          <w:pgMar w:top="1134" w:right="1134" w:bottom="1134" w:left="1134" w:header="851" w:footer="992" w:gutter="0"/>
          <w:pgNumType w:fmt="decimal"/>
          <w:cols w:space="720" w:num="1"/>
          <w:docGrid w:linePitch="312" w:charSpace="0"/>
        </w:sectPr>
      </w:pPr>
    </w:p>
    <w:p w14:paraId="1B0CBA62">
      <w:pPr>
        <w:pStyle w:val="2"/>
        <w:spacing w:line="600" w:lineRule="exact"/>
        <w:jc w:val="center"/>
        <w:rPr>
          <w:rFonts w:ascii="黑体" w:hAnsi="黑体"/>
          <w:bCs/>
          <w:color w:val="auto"/>
          <w:sz w:val="36"/>
          <w:szCs w:val="36"/>
          <w:highlight w:val="none"/>
        </w:rPr>
      </w:pPr>
      <w:bookmarkStart w:id="209" w:name="_Toc19880"/>
      <w:bookmarkStart w:id="210" w:name="_Toc9343395"/>
      <w:bookmarkStart w:id="211" w:name="_Toc12580"/>
      <w:r>
        <w:rPr>
          <w:rFonts w:hint="eastAsia" w:ascii="黑体" w:hAnsi="黑体" w:eastAsia="黑体"/>
          <w:bCs/>
          <w:color w:val="auto"/>
          <w:sz w:val="36"/>
          <w:szCs w:val="36"/>
          <w:highlight w:val="none"/>
        </w:rPr>
        <w:t>第六部分  评标原则及方法</w:t>
      </w:r>
      <w:bookmarkEnd w:id="202"/>
      <w:bookmarkEnd w:id="209"/>
      <w:bookmarkEnd w:id="210"/>
      <w:bookmarkEnd w:id="211"/>
    </w:p>
    <w:p w14:paraId="5BF43E4D">
      <w:pPr>
        <w:pStyle w:val="17"/>
        <w:adjustRightInd w:val="0"/>
        <w:snapToGrid w:val="0"/>
        <w:spacing w:line="440" w:lineRule="exact"/>
        <w:ind w:left="546" w:leftChars="260"/>
        <w:rPr>
          <w:rFonts w:ascii="宋体" w:hAnsi="宋体" w:cs="宋体"/>
          <w:b/>
          <w:bCs/>
          <w:color w:val="auto"/>
          <w:sz w:val="22"/>
          <w:szCs w:val="22"/>
          <w:highlight w:val="none"/>
        </w:rPr>
      </w:pPr>
      <w:r>
        <w:rPr>
          <w:rFonts w:hint="eastAsia" w:ascii="宋体" w:hAnsi="宋体" w:cs="宋体"/>
          <w:b/>
          <w:bCs/>
          <w:color w:val="auto"/>
          <w:sz w:val="22"/>
          <w:szCs w:val="22"/>
          <w:highlight w:val="none"/>
        </w:rPr>
        <w:t>根据《中华人民共和国政府采购法》、《政府采购货物和服务招标投标管理办法》（财政部第87号令）等相关法律、法规特制定以下评标办法。</w:t>
      </w:r>
    </w:p>
    <w:p w14:paraId="3AFD271C">
      <w:pPr>
        <w:pStyle w:val="17"/>
        <w:adjustRightInd w:val="0"/>
        <w:snapToGrid w:val="0"/>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一． 总  则</w:t>
      </w:r>
    </w:p>
    <w:p w14:paraId="7757E40A">
      <w:pPr>
        <w:spacing w:line="440" w:lineRule="exact"/>
        <w:ind w:left="548" w:leftChars="261"/>
        <w:rPr>
          <w:rFonts w:ascii="宋体" w:hAnsi="宋体" w:cs="宋体"/>
          <w:color w:val="auto"/>
          <w:sz w:val="22"/>
          <w:szCs w:val="22"/>
          <w:highlight w:val="none"/>
        </w:rPr>
      </w:pPr>
      <w:r>
        <w:rPr>
          <w:rFonts w:hint="eastAsia" w:ascii="宋体" w:hAnsi="宋体" w:cs="宋体"/>
          <w:color w:val="auto"/>
          <w:sz w:val="22"/>
          <w:szCs w:val="22"/>
          <w:highlight w:val="none"/>
        </w:rPr>
        <w:t>评标工作应遵循公平、公正、科学、择优原则，科学、严谨的态度，认真进行评标，推进技术进步，确保工程质量、交货期，节约投资，最大限度的保护当事人权益。严格按照招标文件的商务、技术要求，对投标文件进行综合评定，编写评标报告。对落标投标人，评标委员会不作任何解释。投标人不得以任何方式干扰招投标工作的进行，一经发现其投标文件将被拒绝。</w:t>
      </w:r>
    </w:p>
    <w:p w14:paraId="45A49708">
      <w:pPr>
        <w:pStyle w:val="17"/>
        <w:adjustRightInd w:val="0"/>
        <w:snapToGrid w:val="0"/>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二． 评标组织</w:t>
      </w:r>
    </w:p>
    <w:p w14:paraId="0496F744">
      <w:pPr>
        <w:spacing w:line="440" w:lineRule="exact"/>
        <w:ind w:left="548" w:leftChars="261"/>
        <w:rPr>
          <w:rFonts w:ascii="宋体" w:hAnsi="宋体" w:cs="宋体"/>
          <w:color w:val="auto"/>
          <w:sz w:val="22"/>
          <w:szCs w:val="22"/>
          <w:highlight w:val="none"/>
        </w:rPr>
      </w:pPr>
      <w:r>
        <w:rPr>
          <w:rFonts w:hint="eastAsia" w:ascii="宋体" w:hAnsi="宋体" w:cs="宋体"/>
          <w:color w:val="auto"/>
          <w:sz w:val="22"/>
          <w:szCs w:val="22"/>
          <w:highlight w:val="none"/>
        </w:rPr>
        <w:t>评标工作由采购人和采购代理机构依法组建的评标委员会负责，评标全过程由有关部门指导监督。</w:t>
      </w:r>
    </w:p>
    <w:p w14:paraId="511C6CC9">
      <w:pPr>
        <w:pStyle w:val="17"/>
        <w:adjustRightInd w:val="0"/>
        <w:snapToGrid w:val="0"/>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三．电子招投标开标及评审程序</w:t>
      </w:r>
    </w:p>
    <w:p w14:paraId="58822FE5">
      <w:pPr>
        <w:spacing w:line="440" w:lineRule="exact"/>
        <w:ind w:left="550" w:hanging="550" w:hangingChars="250"/>
        <w:rPr>
          <w:rFonts w:ascii="宋体" w:hAnsi="宋体" w:cs="宋体"/>
          <w:color w:val="auto"/>
          <w:sz w:val="22"/>
          <w:szCs w:val="22"/>
          <w:highlight w:val="none"/>
        </w:rPr>
      </w:pPr>
      <w:r>
        <w:rPr>
          <w:rFonts w:ascii="宋体" w:hAnsi="宋体" w:cs="宋体"/>
          <w:color w:val="auto"/>
          <w:sz w:val="22"/>
          <w:szCs w:val="22"/>
          <w:highlight w:val="none"/>
        </w:rPr>
        <w:t xml:space="preserve">1.   </w:t>
      </w:r>
      <w:r>
        <w:rPr>
          <w:rFonts w:hint="eastAsia" w:ascii="宋体" w:hAnsi="宋体" w:cs="宋体"/>
          <w:color w:val="auto"/>
          <w:sz w:val="22"/>
          <w:szCs w:val="22"/>
          <w:highlight w:val="none"/>
        </w:rPr>
        <w:t>采购代理机构签收、开始解密投标文件；</w:t>
      </w:r>
    </w:p>
    <w:p w14:paraId="4F03DD23">
      <w:pPr>
        <w:spacing w:line="440" w:lineRule="exact"/>
        <w:ind w:left="550" w:hanging="550" w:hangingChars="250"/>
        <w:rPr>
          <w:rFonts w:ascii="宋体" w:hAnsi="宋体" w:cs="宋体"/>
          <w:color w:val="auto"/>
          <w:sz w:val="22"/>
          <w:szCs w:val="22"/>
          <w:highlight w:val="none"/>
        </w:rPr>
      </w:pPr>
      <w:r>
        <w:rPr>
          <w:rFonts w:ascii="宋体" w:hAnsi="宋体" w:cs="宋体"/>
          <w:color w:val="auto"/>
          <w:sz w:val="22"/>
          <w:szCs w:val="22"/>
          <w:highlight w:val="none"/>
        </w:rPr>
        <w:t xml:space="preserve">2.   </w:t>
      </w:r>
      <w:r>
        <w:rPr>
          <w:rFonts w:hint="eastAsia" w:ascii="宋体" w:hAnsi="宋体" w:cs="宋体"/>
          <w:color w:val="auto"/>
          <w:sz w:val="22"/>
          <w:szCs w:val="22"/>
          <w:highlight w:val="none"/>
        </w:rPr>
        <w:t>投标人解密投标文件；</w:t>
      </w:r>
    </w:p>
    <w:p w14:paraId="6EA3A4AB">
      <w:pPr>
        <w:spacing w:line="440" w:lineRule="exact"/>
        <w:rPr>
          <w:rFonts w:ascii="宋体" w:hAnsi="宋体" w:cs="宋体"/>
          <w:color w:val="auto"/>
          <w:sz w:val="22"/>
          <w:szCs w:val="22"/>
          <w:highlight w:val="none"/>
        </w:rPr>
      </w:pPr>
      <w:r>
        <w:rPr>
          <w:rFonts w:ascii="宋体" w:hAnsi="宋体" w:cs="宋体"/>
          <w:color w:val="auto"/>
          <w:sz w:val="22"/>
          <w:szCs w:val="22"/>
          <w:highlight w:val="none"/>
        </w:rPr>
        <w:t xml:space="preserve">3.   </w:t>
      </w:r>
      <w:r>
        <w:rPr>
          <w:rFonts w:hint="eastAsia" w:ascii="宋体" w:hAnsi="宋体" w:cs="宋体"/>
          <w:color w:val="auto"/>
          <w:sz w:val="22"/>
          <w:szCs w:val="22"/>
          <w:highlight w:val="none"/>
        </w:rPr>
        <w:t>采购代理机构结束解密投标文件；</w:t>
      </w:r>
    </w:p>
    <w:p w14:paraId="2EBDF8C6">
      <w:pPr>
        <w:spacing w:line="440" w:lineRule="exact"/>
        <w:rPr>
          <w:rFonts w:ascii="宋体" w:hAnsi="宋体" w:cs="宋体"/>
          <w:color w:val="auto"/>
          <w:sz w:val="22"/>
          <w:szCs w:val="22"/>
          <w:highlight w:val="none"/>
        </w:rPr>
      </w:pPr>
      <w:r>
        <w:rPr>
          <w:rFonts w:ascii="宋体" w:hAnsi="宋体" w:cs="宋体"/>
          <w:color w:val="auto"/>
          <w:sz w:val="22"/>
          <w:szCs w:val="22"/>
          <w:highlight w:val="none"/>
        </w:rPr>
        <w:t xml:space="preserve">4.   </w:t>
      </w:r>
      <w:r>
        <w:rPr>
          <w:rFonts w:hint="eastAsia" w:ascii="宋体" w:hAnsi="宋体" w:cs="宋体"/>
          <w:color w:val="auto"/>
          <w:sz w:val="22"/>
          <w:szCs w:val="22"/>
          <w:highlight w:val="none"/>
        </w:rPr>
        <w:t>采购代理机构或采购人在线资格性审查；</w:t>
      </w:r>
    </w:p>
    <w:p w14:paraId="344E1B9F">
      <w:pPr>
        <w:spacing w:line="440" w:lineRule="exact"/>
        <w:rPr>
          <w:rFonts w:ascii="宋体" w:hAnsi="宋体" w:cs="宋体"/>
          <w:color w:val="auto"/>
          <w:sz w:val="22"/>
          <w:szCs w:val="22"/>
          <w:highlight w:val="none"/>
        </w:rPr>
      </w:pPr>
      <w:r>
        <w:rPr>
          <w:rFonts w:ascii="宋体" w:hAnsi="宋体" w:cs="宋体"/>
          <w:color w:val="auto"/>
          <w:sz w:val="22"/>
          <w:szCs w:val="22"/>
          <w:highlight w:val="none"/>
        </w:rPr>
        <w:t xml:space="preserve">5.   </w:t>
      </w:r>
      <w:r>
        <w:rPr>
          <w:rFonts w:hint="eastAsia" w:ascii="宋体" w:hAnsi="宋体" w:cs="宋体"/>
          <w:color w:val="auto"/>
          <w:sz w:val="22"/>
          <w:szCs w:val="22"/>
          <w:highlight w:val="none"/>
        </w:rPr>
        <w:t>评标委员会对投标文件进行评审；</w:t>
      </w:r>
    </w:p>
    <w:p w14:paraId="794017BF">
      <w:pPr>
        <w:spacing w:line="440" w:lineRule="exact"/>
        <w:rPr>
          <w:rFonts w:ascii="宋体" w:hAnsi="宋体" w:cs="宋体"/>
          <w:color w:val="auto"/>
          <w:sz w:val="22"/>
          <w:szCs w:val="22"/>
          <w:highlight w:val="none"/>
        </w:rPr>
      </w:pPr>
      <w:r>
        <w:rPr>
          <w:rFonts w:ascii="宋体" w:hAnsi="宋体" w:cs="宋体"/>
          <w:color w:val="auto"/>
          <w:sz w:val="22"/>
          <w:szCs w:val="22"/>
          <w:highlight w:val="none"/>
        </w:rPr>
        <w:t xml:space="preserve">6.   </w:t>
      </w:r>
      <w:r>
        <w:rPr>
          <w:rFonts w:hint="eastAsia" w:ascii="宋体" w:hAnsi="宋体" w:cs="宋体"/>
          <w:color w:val="auto"/>
          <w:sz w:val="22"/>
          <w:szCs w:val="22"/>
          <w:highlight w:val="none"/>
        </w:rPr>
        <w:t>在政采云系统上公开资格和商务技术评审结果；</w:t>
      </w:r>
    </w:p>
    <w:p w14:paraId="7D2390DB">
      <w:pPr>
        <w:spacing w:line="440" w:lineRule="exact"/>
        <w:rPr>
          <w:rFonts w:ascii="宋体" w:hAnsi="宋体" w:cs="宋体"/>
          <w:color w:val="auto"/>
          <w:sz w:val="22"/>
          <w:szCs w:val="22"/>
          <w:highlight w:val="none"/>
        </w:rPr>
      </w:pPr>
      <w:r>
        <w:rPr>
          <w:rFonts w:ascii="宋体" w:hAnsi="宋体" w:cs="宋体"/>
          <w:color w:val="auto"/>
          <w:sz w:val="22"/>
          <w:szCs w:val="22"/>
          <w:highlight w:val="none"/>
        </w:rPr>
        <w:t xml:space="preserve">7.   </w:t>
      </w:r>
      <w:r>
        <w:rPr>
          <w:rFonts w:hint="eastAsia" w:ascii="宋体" w:hAnsi="宋体" w:cs="宋体"/>
          <w:color w:val="auto"/>
          <w:sz w:val="22"/>
          <w:szCs w:val="22"/>
          <w:highlight w:val="none"/>
        </w:rPr>
        <w:t>在政采云系统上公开报价情况；</w:t>
      </w:r>
    </w:p>
    <w:p w14:paraId="62B93024">
      <w:pPr>
        <w:spacing w:line="440" w:lineRule="exact"/>
        <w:rPr>
          <w:rFonts w:ascii="宋体" w:hAnsi="宋体" w:cs="宋体"/>
          <w:color w:val="auto"/>
          <w:sz w:val="22"/>
          <w:szCs w:val="22"/>
          <w:highlight w:val="none"/>
        </w:rPr>
      </w:pPr>
      <w:r>
        <w:rPr>
          <w:rFonts w:ascii="宋体" w:hAnsi="宋体" w:cs="宋体"/>
          <w:color w:val="auto"/>
          <w:sz w:val="22"/>
          <w:szCs w:val="22"/>
          <w:highlight w:val="none"/>
        </w:rPr>
        <w:t xml:space="preserve">8.   </w:t>
      </w:r>
      <w:r>
        <w:rPr>
          <w:rFonts w:hint="eastAsia" w:ascii="宋体" w:hAnsi="宋体" w:cs="宋体"/>
          <w:color w:val="auto"/>
          <w:sz w:val="22"/>
          <w:szCs w:val="22"/>
          <w:highlight w:val="none"/>
        </w:rPr>
        <w:t>评标委员会对报价情况进行评审；</w:t>
      </w:r>
    </w:p>
    <w:p w14:paraId="09826861">
      <w:pPr>
        <w:spacing w:line="440" w:lineRule="exact"/>
        <w:rPr>
          <w:rFonts w:ascii="宋体" w:hAnsi="宋体" w:cs="宋体"/>
          <w:color w:val="auto"/>
          <w:sz w:val="22"/>
          <w:szCs w:val="22"/>
          <w:highlight w:val="none"/>
        </w:rPr>
      </w:pPr>
      <w:r>
        <w:rPr>
          <w:rFonts w:ascii="宋体" w:hAnsi="宋体" w:cs="宋体"/>
          <w:color w:val="auto"/>
          <w:sz w:val="22"/>
          <w:szCs w:val="22"/>
          <w:highlight w:val="none"/>
        </w:rPr>
        <w:t xml:space="preserve">9. </w:t>
      </w:r>
      <w:r>
        <w:rPr>
          <w:rFonts w:hint="eastAsia" w:ascii="宋体" w:hAnsi="宋体" w:cs="宋体"/>
          <w:color w:val="auto"/>
          <w:sz w:val="22"/>
          <w:szCs w:val="22"/>
          <w:highlight w:val="none"/>
        </w:rPr>
        <w:t xml:space="preserve">  在系统上公布评审结果。</w:t>
      </w:r>
    </w:p>
    <w:p w14:paraId="2E4E33FB">
      <w:pPr>
        <w:spacing w:line="440" w:lineRule="exact"/>
        <w:ind w:left="548" w:leftChars="261"/>
        <w:rPr>
          <w:rFonts w:ascii="宋体" w:hAnsi="宋体" w:cs="宋体"/>
          <w:color w:val="auto"/>
          <w:sz w:val="22"/>
          <w:szCs w:val="22"/>
          <w:highlight w:val="none"/>
        </w:rPr>
      </w:pPr>
      <w:r>
        <w:rPr>
          <w:rFonts w:hint="eastAsia" w:ascii="宋体" w:hAnsi="宋体" w:cs="宋体"/>
          <w:color w:val="auto"/>
          <w:sz w:val="22"/>
          <w:szCs w:val="22"/>
          <w:highlight w:val="none"/>
        </w:rPr>
        <w:t>特别说明：政采云公司如对电子化开标及评审程序有调整的，按调整后的程序操作。</w:t>
      </w:r>
    </w:p>
    <w:p w14:paraId="549701FA">
      <w:pPr>
        <w:pStyle w:val="17"/>
        <w:adjustRightInd w:val="0"/>
        <w:snapToGrid w:val="0"/>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四． 评标办法</w:t>
      </w:r>
    </w:p>
    <w:p w14:paraId="7FF40751">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1.   本次评标采用综合评分法，总分100分，其中商务技术7</w:t>
      </w:r>
      <w:r>
        <w:rPr>
          <w:rFonts w:ascii="宋体" w:hAnsi="宋体" w:cs="宋体"/>
          <w:color w:val="auto"/>
          <w:sz w:val="22"/>
          <w:szCs w:val="22"/>
          <w:highlight w:val="none"/>
        </w:rPr>
        <w:t>0</w:t>
      </w:r>
      <w:r>
        <w:rPr>
          <w:rFonts w:hint="eastAsia" w:ascii="宋体" w:hAnsi="宋体" w:cs="宋体"/>
          <w:color w:val="auto"/>
          <w:sz w:val="22"/>
          <w:szCs w:val="22"/>
          <w:highlight w:val="none"/>
        </w:rPr>
        <w:t>分（商务技术权值7</w:t>
      </w:r>
      <w:r>
        <w:rPr>
          <w:rFonts w:ascii="宋体" w:hAnsi="宋体" w:cs="宋体"/>
          <w:color w:val="auto"/>
          <w:sz w:val="22"/>
          <w:szCs w:val="22"/>
          <w:highlight w:val="none"/>
        </w:rPr>
        <w:t>0</w:t>
      </w:r>
      <w:r>
        <w:rPr>
          <w:rFonts w:hint="eastAsia" w:ascii="宋体" w:hAnsi="宋体" w:cs="宋体"/>
          <w:color w:val="auto"/>
          <w:sz w:val="22"/>
          <w:szCs w:val="22"/>
          <w:highlight w:val="none"/>
        </w:rPr>
        <w:t>%），价格3</w:t>
      </w:r>
      <w:r>
        <w:rPr>
          <w:rFonts w:ascii="宋体" w:hAnsi="宋体" w:cs="宋体"/>
          <w:color w:val="auto"/>
          <w:sz w:val="22"/>
          <w:szCs w:val="22"/>
          <w:highlight w:val="none"/>
        </w:rPr>
        <w:t>0</w:t>
      </w:r>
      <w:r>
        <w:rPr>
          <w:rFonts w:hint="eastAsia" w:ascii="宋体" w:hAnsi="宋体" w:cs="宋体"/>
          <w:color w:val="auto"/>
          <w:sz w:val="22"/>
          <w:szCs w:val="22"/>
          <w:highlight w:val="none"/>
        </w:rPr>
        <w:t>分（价格权值3</w:t>
      </w:r>
      <w:r>
        <w:rPr>
          <w:rFonts w:ascii="宋体" w:hAnsi="宋体" w:cs="宋体"/>
          <w:color w:val="auto"/>
          <w:sz w:val="22"/>
          <w:szCs w:val="22"/>
          <w:highlight w:val="none"/>
        </w:rPr>
        <w:t>0</w:t>
      </w:r>
      <w:r>
        <w:rPr>
          <w:rFonts w:hint="eastAsia" w:ascii="宋体" w:hAnsi="宋体" w:cs="宋体"/>
          <w:color w:val="auto"/>
          <w:sz w:val="22"/>
          <w:szCs w:val="22"/>
          <w:highlight w:val="none"/>
        </w:rPr>
        <w:t>%）。即最大限度地满足招标文件实质性要求前提下，按照招标文件中规定的各项评分内容评审后，以评标总得分最高的投标人，作为中标人。</w:t>
      </w:r>
    </w:p>
    <w:p w14:paraId="3E3EF9CE">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2.   投标截止时间止及评审期间，如出现有效投标人＜3家时，本项目废标，并重新组织招标。</w:t>
      </w:r>
    </w:p>
    <w:p w14:paraId="089967B9">
      <w:pPr>
        <w:pStyle w:val="17"/>
        <w:adjustRightInd w:val="0"/>
        <w:snapToGrid w:val="0"/>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五． 评分细则</w:t>
      </w:r>
    </w:p>
    <w:p w14:paraId="035969F4">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1.   商务技术分的评定（7</w:t>
      </w:r>
      <w:r>
        <w:rPr>
          <w:rFonts w:ascii="宋体" w:hAnsi="宋体" w:cs="宋体"/>
          <w:color w:val="auto"/>
          <w:sz w:val="22"/>
          <w:szCs w:val="22"/>
          <w:highlight w:val="none"/>
        </w:rPr>
        <w:t>0</w:t>
      </w:r>
      <w:r>
        <w:rPr>
          <w:rFonts w:hint="eastAsia" w:ascii="宋体" w:hAnsi="宋体" w:cs="宋体"/>
          <w:color w:val="auto"/>
          <w:sz w:val="22"/>
          <w:szCs w:val="22"/>
          <w:highlight w:val="none"/>
        </w:rPr>
        <w:t>分）</w:t>
      </w:r>
    </w:p>
    <w:p w14:paraId="7281E781">
      <w:pPr>
        <w:spacing w:line="440" w:lineRule="exact"/>
        <w:ind w:left="548" w:leftChars="261"/>
        <w:rPr>
          <w:color w:val="auto"/>
          <w:highlight w:val="none"/>
        </w:rPr>
      </w:pPr>
      <w:r>
        <w:rPr>
          <w:rFonts w:hint="eastAsia" w:ascii="宋体" w:hAnsi="宋体" w:cs="宋体"/>
          <w:color w:val="auto"/>
          <w:sz w:val="22"/>
          <w:szCs w:val="22"/>
          <w:highlight w:val="none"/>
        </w:rPr>
        <w:t>各评委成员按下列评分内容进行评定，每人一张评分计算表，由评标委员会成员各自评定独立打分并记实名。如某张表的一项评分内容分值超过规定的范围，则该张表无效。评标委员会成员对投标人的各项评分内容评分的合计分汇总后的算术平均值为该投标人商务技术的最终得分（四舍五入，保留小数点后二位）。</w:t>
      </w:r>
    </w:p>
    <w:p w14:paraId="66D87B8A">
      <w:pPr>
        <w:spacing w:line="440" w:lineRule="exact"/>
        <w:rPr>
          <w:rFonts w:hint="eastAsia" w:ascii="宋体" w:hAnsi="宋体" w:cs="宋体"/>
          <w:b/>
          <w:color w:val="auto"/>
          <w:szCs w:val="22"/>
          <w:highlight w:val="none"/>
        </w:rPr>
      </w:pPr>
      <w:r>
        <w:rPr>
          <w:rFonts w:hint="eastAsia" w:ascii="宋体" w:hAnsi="宋体" w:cs="宋体"/>
          <w:b/>
          <w:color w:val="auto"/>
          <w:szCs w:val="22"/>
          <w:highlight w:val="none"/>
        </w:rPr>
        <w:t>商务技术70分</w:t>
      </w:r>
    </w:p>
    <w:tbl>
      <w:tblPr>
        <w:tblStyle w:val="39"/>
        <w:tblW w:w="9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5"/>
        <w:gridCol w:w="1198"/>
        <w:gridCol w:w="5905"/>
        <w:gridCol w:w="790"/>
        <w:gridCol w:w="1026"/>
      </w:tblGrid>
      <w:tr w14:paraId="69F24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4B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CD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评分内容</w:t>
            </w: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53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评分标准</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6F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分值</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CB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备注</w:t>
            </w:r>
          </w:p>
        </w:tc>
      </w:tr>
      <w:tr w14:paraId="551ED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925" w:type="dxa"/>
            <w:vMerge w:val="restart"/>
            <w:tcBorders>
              <w:top w:val="single" w:color="000000" w:sz="4" w:space="0"/>
              <w:left w:val="single" w:color="000000" w:sz="4" w:space="0"/>
              <w:right w:val="single" w:color="000000" w:sz="4" w:space="0"/>
            </w:tcBorders>
            <w:shd w:val="clear" w:color="auto" w:fill="auto"/>
            <w:vAlign w:val="center"/>
          </w:tcPr>
          <w:p w14:paraId="4FCCF4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98" w:type="dxa"/>
            <w:vMerge w:val="restart"/>
            <w:tcBorders>
              <w:top w:val="single" w:color="000000" w:sz="4" w:space="0"/>
              <w:left w:val="single" w:color="000000" w:sz="4" w:space="0"/>
              <w:right w:val="single" w:color="000000" w:sz="4" w:space="0"/>
            </w:tcBorders>
            <w:shd w:val="clear" w:color="auto" w:fill="auto"/>
            <w:vAlign w:val="center"/>
          </w:tcPr>
          <w:p w14:paraId="6A6574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投标人综合服务能力</w:t>
            </w: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99F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sz w:val="22"/>
                <w:szCs w:val="22"/>
                <w:highlight w:val="none"/>
                <w:u w:val="none"/>
              </w:rPr>
            </w:pPr>
            <w:r>
              <w:rPr>
                <w:rFonts w:hint="default" w:ascii="宋体" w:hAnsi="宋体" w:eastAsia="宋体" w:cs="宋体"/>
                <w:b w:val="0"/>
                <w:bCs w:val="0"/>
                <w:color w:val="auto"/>
                <w:sz w:val="21"/>
                <w:szCs w:val="21"/>
                <w:highlight w:val="none"/>
                <w:vertAlign w:val="baseline"/>
                <w:lang w:val="en-US" w:eastAsia="zh-CN"/>
              </w:rPr>
              <w:t>投标人</w:t>
            </w:r>
            <w:r>
              <w:rPr>
                <w:rFonts w:hint="eastAsia" w:ascii="宋体" w:hAnsi="宋体" w:eastAsia="宋体" w:cs="宋体"/>
                <w:i w:val="0"/>
                <w:iCs w:val="0"/>
                <w:color w:val="auto"/>
                <w:kern w:val="0"/>
                <w:sz w:val="22"/>
                <w:szCs w:val="22"/>
                <w:highlight w:val="none"/>
                <w:u w:val="none"/>
                <w:lang w:val="en-US" w:eastAsia="zh-CN" w:bidi="ar"/>
              </w:rPr>
              <w:t>能够对接哈萨克斯坦</w:t>
            </w:r>
            <w:r>
              <w:rPr>
                <w:rFonts w:hint="eastAsia" w:ascii="宋体" w:hAnsi="宋体" w:cs="宋体"/>
                <w:i w:val="0"/>
                <w:iCs w:val="0"/>
                <w:color w:val="auto"/>
                <w:kern w:val="0"/>
                <w:sz w:val="22"/>
                <w:szCs w:val="22"/>
                <w:highlight w:val="none"/>
                <w:u w:val="none"/>
                <w:lang w:val="en-US" w:eastAsia="zh-CN" w:bidi="ar"/>
              </w:rPr>
              <w:t>职业教育主管部门</w:t>
            </w:r>
            <w:r>
              <w:rPr>
                <w:rFonts w:hint="eastAsia" w:ascii="宋体" w:hAnsi="宋体" w:eastAsia="宋体" w:cs="宋体"/>
                <w:i w:val="0"/>
                <w:iCs w:val="0"/>
                <w:color w:val="auto"/>
                <w:kern w:val="0"/>
                <w:sz w:val="22"/>
                <w:szCs w:val="22"/>
                <w:highlight w:val="none"/>
                <w:u w:val="none"/>
                <w:lang w:val="en-US" w:eastAsia="zh-CN" w:bidi="ar"/>
              </w:rPr>
              <w:t>或其下属职业教育管理机构，须提供与哈方</w:t>
            </w:r>
            <w:r>
              <w:rPr>
                <w:rFonts w:hint="eastAsia" w:ascii="宋体" w:hAnsi="宋体" w:cs="宋体"/>
                <w:i w:val="0"/>
                <w:iCs w:val="0"/>
                <w:color w:val="auto"/>
                <w:kern w:val="0"/>
                <w:sz w:val="22"/>
                <w:szCs w:val="22"/>
                <w:highlight w:val="none"/>
                <w:u w:val="none"/>
                <w:lang w:val="en-US" w:eastAsia="zh-CN" w:bidi="ar"/>
              </w:rPr>
              <w:t>职业教育主管部门</w:t>
            </w:r>
            <w:r>
              <w:rPr>
                <w:rFonts w:hint="eastAsia" w:ascii="宋体" w:hAnsi="宋体" w:eastAsia="宋体" w:cs="宋体"/>
                <w:i w:val="0"/>
                <w:iCs w:val="0"/>
                <w:color w:val="auto"/>
                <w:kern w:val="0"/>
                <w:sz w:val="22"/>
                <w:szCs w:val="22"/>
                <w:highlight w:val="none"/>
                <w:u w:val="none"/>
                <w:lang w:val="en-US" w:eastAsia="zh-CN" w:bidi="ar"/>
              </w:rPr>
              <w:t>或其下属职业教育管理机构签署的合作协议、备忘录等佐证材料；得4分，如非中文还需提供中文翻译版，不提供不得分；（合作关系应与职业教育领域直接相关，具备开展教育标准开发、课程资源应用、教材推广等工作的资质背景。）</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AE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9E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客观分</w:t>
            </w:r>
          </w:p>
        </w:tc>
      </w:tr>
      <w:tr w14:paraId="15462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25" w:type="dxa"/>
            <w:vMerge w:val="continue"/>
            <w:tcBorders>
              <w:left w:val="single" w:color="000000" w:sz="4" w:space="0"/>
              <w:right w:val="single" w:color="000000" w:sz="4" w:space="0"/>
            </w:tcBorders>
            <w:shd w:val="clear" w:color="auto" w:fill="auto"/>
            <w:vAlign w:val="center"/>
          </w:tcPr>
          <w:p w14:paraId="06A0A05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2"/>
                <w:szCs w:val="22"/>
                <w:highlight w:val="none"/>
                <w:u w:val="none"/>
              </w:rPr>
            </w:pPr>
          </w:p>
        </w:tc>
        <w:tc>
          <w:tcPr>
            <w:tcW w:w="1198" w:type="dxa"/>
            <w:vMerge w:val="continue"/>
            <w:tcBorders>
              <w:left w:val="single" w:color="000000" w:sz="4" w:space="0"/>
              <w:right w:val="single" w:color="000000" w:sz="4" w:space="0"/>
            </w:tcBorders>
            <w:shd w:val="clear" w:color="auto" w:fill="auto"/>
            <w:vAlign w:val="center"/>
          </w:tcPr>
          <w:p w14:paraId="26169168">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2"/>
                <w:szCs w:val="22"/>
                <w:highlight w:val="none"/>
                <w:u w:val="none"/>
              </w:rPr>
            </w:pP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262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sz w:val="22"/>
                <w:szCs w:val="22"/>
                <w:highlight w:val="none"/>
                <w:u w:val="none"/>
              </w:rPr>
            </w:pPr>
            <w:r>
              <w:rPr>
                <w:rFonts w:hint="default" w:ascii="宋体" w:hAnsi="宋体" w:eastAsia="宋体" w:cs="宋体"/>
                <w:b w:val="0"/>
                <w:bCs w:val="0"/>
                <w:color w:val="auto"/>
                <w:sz w:val="21"/>
                <w:szCs w:val="21"/>
                <w:highlight w:val="none"/>
                <w:vertAlign w:val="baseline"/>
                <w:lang w:val="en-US" w:eastAsia="zh-CN"/>
              </w:rPr>
              <w:t>投标人</w:t>
            </w:r>
            <w:r>
              <w:rPr>
                <w:rFonts w:hint="eastAsia" w:ascii="宋体" w:hAnsi="宋体" w:eastAsia="宋体" w:cs="宋体"/>
                <w:i w:val="0"/>
                <w:iCs w:val="0"/>
                <w:color w:val="auto"/>
                <w:kern w:val="0"/>
                <w:sz w:val="22"/>
                <w:szCs w:val="22"/>
                <w:highlight w:val="none"/>
                <w:u w:val="none"/>
                <w:lang w:val="en-US" w:eastAsia="zh-CN" w:bidi="ar"/>
              </w:rPr>
              <w:t>应与哈萨克斯坦的职业技术学校或高等院校具有正式合作关系，具备实地执行教育合作项目的能力。每提供1所学校的证明材料，得2分，最多得4分，如非中文还需提供中文翻译版，不提供不得分。</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FF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21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客观分</w:t>
            </w:r>
          </w:p>
        </w:tc>
      </w:tr>
      <w:tr w14:paraId="68C8A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925" w:type="dxa"/>
            <w:vMerge w:val="continue"/>
            <w:tcBorders>
              <w:left w:val="single" w:color="000000" w:sz="4" w:space="0"/>
              <w:right w:val="single" w:color="000000" w:sz="4" w:space="0"/>
            </w:tcBorders>
            <w:shd w:val="clear" w:color="auto" w:fill="auto"/>
            <w:vAlign w:val="center"/>
          </w:tcPr>
          <w:p w14:paraId="2458EFB4">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2"/>
                <w:szCs w:val="22"/>
                <w:highlight w:val="none"/>
                <w:u w:val="none"/>
              </w:rPr>
            </w:pPr>
          </w:p>
        </w:tc>
        <w:tc>
          <w:tcPr>
            <w:tcW w:w="1198" w:type="dxa"/>
            <w:vMerge w:val="continue"/>
            <w:tcBorders>
              <w:left w:val="single" w:color="000000" w:sz="4" w:space="0"/>
              <w:right w:val="single" w:color="000000" w:sz="4" w:space="0"/>
            </w:tcBorders>
            <w:shd w:val="clear" w:color="auto" w:fill="auto"/>
            <w:vAlign w:val="center"/>
          </w:tcPr>
          <w:p w14:paraId="7DA1B6DA">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2"/>
                <w:szCs w:val="22"/>
                <w:highlight w:val="none"/>
                <w:u w:val="none"/>
              </w:rPr>
            </w:pP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D38C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投标人</w:t>
            </w:r>
            <w:r>
              <w:rPr>
                <w:rFonts w:hint="eastAsia" w:ascii="宋体" w:hAnsi="宋体" w:cs="宋体"/>
                <w:i w:val="0"/>
                <w:iCs w:val="0"/>
                <w:color w:val="auto"/>
                <w:kern w:val="0"/>
                <w:sz w:val="22"/>
                <w:szCs w:val="22"/>
                <w:highlight w:val="none"/>
                <w:u w:val="none"/>
                <w:lang w:val="en-US" w:eastAsia="zh-CN" w:bidi="ar"/>
              </w:rPr>
              <w:t>须</w:t>
            </w:r>
            <w:r>
              <w:rPr>
                <w:rFonts w:hint="eastAsia" w:ascii="宋体" w:hAnsi="宋体" w:eastAsia="宋体" w:cs="宋体"/>
                <w:i w:val="0"/>
                <w:iCs w:val="0"/>
                <w:color w:val="auto"/>
                <w:kern w:val="0"/>
                <w:sz w:val="22"/>
                <w:szCs w:val="22"/>
                <w:highlight w:val="none"/>
                <w:u w:val="none"/>
                <w:lang w:val="en-US" w:eastAsia="zh-CN" w:bidi="ar"/>
              </w:rPr>
              <w:t>具备组织海外教师及企业员工培训经验，为海外</w:t>
            </w:r>
            <w:r>
              <w:rPr>
                <w:rFonts w:hint="eastAsia" w:ascii="宋体" w:hAnsi="宋体" w:cs="宋体"/>
                <w:i w:val="0"/>
                <w:iCs w:val="0"/>
                <w:color w:val="auto"/>
                <w:kern w:val="0"/>
                <w:sz w:val="22"/>
                <w:szCs w:val="22"/>
                <w:highlight w:val="none"/>
                <w:u w:val="none"/>
                <w:lang w:val="en-US" w:eastAsia="zh-CN" w:bidi="ar"/>
              </w:rPr>
              <w:t>职业管理部门、海外</w:t>
            </w:r>
            <w:r>
              <w:rPr>
                <w:rFonts w:hint="eastAsia" w:ascii="宋体" w:hAnsi="宋体" w:eastAsia="宋体" w:cs="宋体"/>
                <w:i w:val="0"/>
                <w:iCs w:val="0"/>
                <w:color w:val="auto"/>
                <w:kern w:val="0"/>
                <w:sz w:val="22"/>
                <w:szCs w:val="22"/>
                <w:highlight w:val="none"/>
                <w:u w:val="none"/>
                <w:lang w:val="en-US" w:eastAsia="zh-CN" w:bidi="ar"/>
              </w:rPr>
              <w:t>协会、</w:t>
            </w:r>
            <w:r>
              <w:rPr>
                <w:rFonts w:hint="eastAsia" w:ascii="宋体" w:hAnsi="宋体" w:cs="宋体"/>
                <w:i w:val="0"/>
                <w:iCs w:val="0"/>
                <w:color w:val="auto"/>
                <w:kern w:val="0"/>
                <w:sz w:val="22"/>
                <w:szCs w:val="22"/>
                <w:highlight w:val="none"/>
                <w:u w:val="none"/>
                <w:lang w:val="en-US" w:eastAsia="zh-CN" w:bidi="ar"/>
              </w:rPr>
              <w:t>中资</w:t>
            </w:r>
            <w:r>
              <w:rPr>
                <w:rFonts w:hint="eastAsia" w:ascii="宋体" w:hAnsi="宋体" w:eastAsia="宋体" w:cs="宋体"/>
                <w:i w:val="0"/>
                <w:iCs w:val="0"/>
                <w:color w:val="auto"/>
                <w:kern w:val="0"/>
                <w:sz w:val="22"/>
                <w:szCs w:val="22"/>
                <w:highlight w:val="none"/>
                <w:u w:val="none"/>
                <w:lang w:val="en-US" w:eastAsia="zh-CN" w:bidi="ar"/>
              </w:rPr>
              <w:t>企业</w:t>
            </w:r>
            <w:r>
              <w:rPr>
                <w:rFonts w:hint="eastAsia" w:ascii="宋体" w:hAnsi="宋体" w:cs="宋体"/>
                <w:i w:val="0"/>
                <w:iCs w:val="0"/>
                <w:color w:val="auto"/>
                <w:kern w:val="0"/>
                <w:sz w:val="22"/>
                <w:szCs w:val="22"/>
                <w:highlight w:val="none"/>
                <w:u w:val="none"/>
                <w:lang w:val="en-US" w:eastAsia="zh-CN" w:bidi="ar"/>
              </w:rPr>
              <w:t>（或背景）</w:t>
            </w:r>
            <w:r>
              <w:rPr>
                <w:rFonts w:hint="eastAsia" w:ascii="宋体" w:hAnsi="宋体" w:eastAsia="宋体" w:cs="宋体"/>
                <w:i w:val="0"/>
                <w:iCs w:val="0"/>
                <w:color w:val="auto"/>
                <w:kern w:val="0"/>
                <w:sz w:val="22"/>
                <w:szCs w:val="22"/>
                <w:highlight w:val="none"/>
                <w:u w:val="none"/>
                <w:lang w:val="en-US" w:eastAsia="zh-CN" w:bidi="ar"/>
              </w:rPr>
              <w:t>等提供</w:t>
            </w:r>
            <w:r>
              <w:rPr>
                <w:rFonts w:hint="eastAsia" w:ascii="宋体" w:hAnsi="宋体" w:cs="宋体"/>
                <w:i w:val="0"/>
                <w:iCs w:val="0"/>
                <w:color w:val="auto"/>
                <w:kern w:val="0"/>
                <w:sz w:val="22"/>
                <w:szCs w:val="22"/>
                <w:highlight w:val="none"/>
                <w:u w:val="none"/>
                <w:lang w:val="en-US" w:eastAsia="zh-CN" w:bidi="ar"/>
              </w:rPr>
              <w:t>过</w:t>
            </w:r>
            <w:r>
              <w:rPr>
                <w:rFonts w:hint="eastAsia" w:ascii="宋体" w:hAnsi="宋体" w:eastAsia="宋体" w:cs="宋体"/>
                <w:i w:val="0"/>
                <w:iCs w:val="0"/>
                <w:color w:val="auto"/>
                <w:kern w:val="0"/>
                <w:sz w:val="22"/>
                <w:szCs w:val="22"/>
                <w:highlight w:val="none"/>
                <w:u w:val="none"/>
                <w:lang w:val="en-US" w:eastAsia="zh-CN" w:bidi="ar"/>
              </w:rPr>
              <w:t>“中文+职业技能”培训。提供</w:t>
            </w:r>
            <w:r>
              <w:rPr>
                <w:rFonts w:hint="eastAsia" w:ascii="宋体" w:hAnsi="宋体" w:cs="宋体"/>
                <w:i w:val="0"/>
                <w:iCs w:val="0"/>
                <w:color w:val="auto"/>
                <w:kern w:val="0"/>
                <w:sz w:val="22"/>
                <w:szCs w:val="22"/>
                <w:highlight w:val="none"/>
                <w:u w:val="none"/>
                <w:lang w:val="en-US" w:eastAsia="zh-CN" w:bidi="ar"/>
              </w:rPr>
              <w:t>2022年1月1日至今</w:t>
            </w:r>
            <w:r>
              <w:rPr>
                <w:rFonts w:hint="eastAsia" w:ascii="宋体" w:hAnsi="宋体" w:eastAsia="宋体" w:cs="宋体"/>
                <w:i w:val="0"/>
                <w:iCs w:val="0"/>
                <w:color w:val="auto"/>
                <w:kern w:val="0"/>
                <w:sz w:val="22"/>
                <w:szCs w:val="22"/>
                <w:highlight w:val="none"/>
                <w:u w:val="none"/>
                <w:lang w:val="en-US" w:eastAsia="zh-CN" w:bidi="ar"/>
              </w:rPr>
              <w:t>交付培训相关证明材料，</w:t>
            </w:r>
            <w:r>
              <w:rPr>
                <w:rFonts w:hint="eastAsia" w:ascii="宋体" w:hAnsi="宋体" w:cs="宋体"/>
                <w:i w:val="0"/>
                <w:iCs w:val="0"/>
                <w:color w:val="auto"/>
                <w:kern w:val="0"/>
                <w:sz w:val="22"/>
                <w:szCs w:val="22"/>
                <w:highlight w:val="none"/>
                <w:u w:val="none"/>
                <w:lang w:val="en-US" w:eastAsia="zh-CN" w:bidi="ar"/>
              </w:rPr>
              <w:t>提供合作协议或</w:t>
            </w:r>
            <w:r>
              <w:rPr>
                <w:rFonts w:hint="eastAsia" w:ascii="宋体" w:hAnsi="宋体" w:eastAsia="宋体" w:cs="宋体"/>
                <w:i w:val="0"/>
                <w:iCs w:val="0"/>
                <w:color w:val="auto"/>
                <w:kern w:val="0"/>
                <w:sz w:val="22"/>
                <w:szCs w:val="22"/>
                <w:highlight w:val="none"/>
                <w:u w:val="none"/>
                <w:lang w:val="en-US" w:eastAsia="zh-CN" w:bidi="ar"/>
              </w:rPr>
              <w:t>加盖海外协会、企业公章。如非中文还需提供中文翻译版，每提供1份得2分，最高得4分。</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72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3E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客观分</w:t>
            </w:r>
          </w:p>
        </w:tc>
      </w:tr>
      <w:tr w14:paraId="7F384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925" w:type="dxa"/>
            <w:vMerge w:val="continue"/>
            <w:tcBorders>
              <w:left w:val="single" w:color="000000" w:sz="4" w:space="0"/>
              <w:right w:val="single" w:color="000000" w:sz="4" w:space="0"/>
            </w:tcBorders>
            <w:shd w:val="clear" w:color="auto" w:fill="auto"/>
            <w:vAlign w:val="center"/>
          </w:tcPr>
          <w:p w14:paraId="30BF3F14">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2"/>
                <w:szCs w:val="22"/>
                <w:highlight w:val="none"/>
                <w:u w:val="none"/>
              </w:rPr>
            </w:pPr>
          </w:p>
        </w:tc>
        <w:tc>
          <w:tcPr>
            <w:tcW w:w="1198" w:type="dxa"/>
            <w:vMerge w:val="continue"/>
            <w:tcBorders>
              <w:left w:val="single" w:color="000000" w:sz="4" w:space="0"/>
              <w:right w:val="single" w:color="000000" w:sz="4" w:space="0"/>
            </w:tcBorders>
            <w:shd w:val="clear" w:color="auto" w:fill="auto"/>
            <w:vAlign w:val="center"/>
          </w:tcPr>
          <w:p w14:paraId="5ADA8636">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2"/>
                <w:szCs w:val="22"/>
                <w:highlight w:val="none"/>
                <w:u w:val="none"/>
              </w:rPr>
            </w:pP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EC0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投标人具备支撑金砖国家职业技能大赛、一带一路暨金砖国家技能发展与技术创新大赛中人工智能、大数据、信息安全、安全防范、物联网</w:t>
            </w:r>
            <w:r>
              <w:rPr>
                <w:rFonts w:hint="eastAsia" w:ascii="宋体" w:hAnsi="宋体" w:cs="宋体"/>
                <w:i w:val="0"/>
                <w:iCs w:val="0"/>
                <w:color w:val="auto"/>
                <w:kern w:val="0"/>
                <w:sz w:val="22"/>
                <w:szCs w:val="22"/>
                <w:highlight w:val="none"/>
                <w:u w:val="none"/>
                <w:lang w:val="en-US" w:eastAsia="zh-CN" w:bidi="ar"/>
              </w:rPr>
              <w:t>、智能制造等</w:t>
            </w:r>
            <w:r>
              <w:rPr>
                <w:rFonts w:hint="eastAsia" w:ascii="宋体" w:hAnsi="宋体" w:eastAsia="宋体" w:cs="宋体"/>
                <w:i w:val="0"/>
                <w:iCs w:val="0"/>
                <w:color w:val="auto"/>
                <w:kern w:val="0"/>
                <w:sz w:val="22"/>
                <w:szCs w:val="22"/>
                <w:highlight w:val="none"/>
                <w:u w:val="none"/>
                <w:lang w:val="en-US" w:eastAsia="zh-CN" w:bidi="ar"/>
              </w:rPr>
              <w:t>国际化赛项的能力，能够为院校组建国际战队和赛前集训提供技术支撑。提供</w:t>
            </w:r>
            <w:r>
              <w:rPr>
                <w:rFonts w:hint="eastAsia" w:ascii="宋体" w:hAnsi="宋体" w:cs="宋体"/>
                <w:i w:val="0"/>
                <w:iCs w:val="0"/>
                <w:color w:val="auto"/>
                <w:kern w:val="0"/>
                <w:sz w:val="22"/>
                <w:szCs w:val="22"/>
                <w:highlight w:val="none"/>
                <w:u w:val="none"/>
                <w:lang w:val="en-US" w:eastAsia="zh-CN" w:bidi="ar"/>
              </w:rPr>
              <w:t>2022年1月1日至今</w:t>
            </w:r>
            <w:r>
              <w:rPr>
                <w:rFonts w:hint="eastAsia" w:ascii="宋体" w:hAnsi="宋体" w:eastAsia="宋体" w:cs="宋体"/>
                <w:i w:val="0"/>
                <w:iCs w:val="0"/>
                <w:color w:val="auto"/>
                <w:kern w:val="0"/>
                <w:sz w:val="22"/>
                <w:szCs w:val="22"/>
                <w:highlight w:val="none"/>
                <w:u w:val="none"/>
                <w:lang w:val="en-US" w:eastAsia="zh-CN" w:bidi="ar"/>
              </w:rPr>
              <w:t>支撑相关竞赛的证明文件，每提供一份得1分，如非中文还需提供中文翻译版，最高得4分。</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96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D8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客观分</w:t>
            </w:r>
          </w:p>
        </w:tc>
      </w:tr>
      <w:tr w14:paraId="33888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925" w:type="dxa"/>
            <w:vMerge w:val="continue"/>
            <w:tcBorders>
              <w:left w:val="single" w:color="000000" w:sz="4" w:space="0"/>
              <w:right w:val="single" w:color="000000" w:sz="4" w:space="0"/>
            </w:tcBorders>
            <w:shd w:val="clear" w:color="auto" w:fill="auto"/>
            <w:vAlign w:val="center"/>
          </w:tcPr>
          <w:p w14:paraId="082A24CE">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2"/>
                <w:szCs w:val="22"/>
                <w:highlight w:val="none"/>
                <w:u w:val="none"/>
              </w:rPr>
            </w:pPr>
          </w:p>
        </w:tc>
        <w:tc>
          <w:tcPr>
            <w:tcW w:w="1198" w:type="dxa"/>
            <w:vMerge w:val="continue"/>
            <w:tcBorders>
              <w:left w:val="single" w:color="000000" w:sz="4" w:space="0"/>
              <w:right w:val="single" w:color="000000" w:sz="4" w:space="0"/>
            </w:tcBorders>
            <w:shd w:val="clear" w:color="auto" w:fill="auto"/>
            <w:vAlign w:val="center"/>
          </w:tcPr>
          <w:p w14:paraId="2A93B0CC">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2"/>
                <w:szCs w:val="22"/>
                <w:highlight w:val="none"/>
                <w:u w:val="none"/>
              </w:rPr>
            </w:pP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5E20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投标人在哈萨克斯坦拥有稳定资源，能够在中资企业工业园推动建立与专业相关的实践基地；能够为合作办学的学生在哈萨克斯坦中资安防类头部企业提供就业渠道</w:t>
            </w:r>
            <w:r>
              <w:rPr>
                <w:rFonts w:hint="eastAsia" w:ascii="宋体" w:hAnsi="宋体" w:cs="宋体"/>
                <w:i w:val="0"/>
                <w:iCs w:val="0"/>
                <w:color w:val="auto"/>
                <w:kern w:val="0"/>
                <w:sz w:val="22"/>
                <w:szCs w:val="22"/>
                <w:highlight w:val="none"/>
                <w:u w:val="none"/>
                <w:lang w:val="en-US" w:eastAsia="zh-CN" w:bidi="ar"/>
              </w:rPr>
              <w:t>，提供实践基地意向协议的得2分，合作</w:t>
            </w:r>
            <w:r>
              <w:rPr>
                <w:rFonts w:hint="eastAsia" w:ascii="宋体" w:hAnsi="宋体" w:eastAsia="宋体" w:cs="宋体"/>
                <w:i w:val="0"/>
                <w:iCs w:val="0"/>
                <w:color w:val="auto"/>
                <w:kern w:val="0"/>
                <w:sz w:val="22"/>
                <w:szCs w:val="22"/>
                <w:highlight w:val="none"/>
                <w:u w:val="none"/>
                <w:lang w:val="en-US" w:eastAsia="zh-CN" w:bidi="ar"/>
              </w:rPr>
              <w:t>办学学生就业的书面材料</w:t>
            </w:r>
            <w:r>
              <w:rPr>
                <w:rFonts w:hint="eastAsia" w:ascii="宋体" w:hAnsi="宋体" w:cs="宋体"/>
                <w:i w:val="0"/>
                <w:iCs w:val="0"/>
                <w:color w:val="auto"/>
                <w:kern w:val="0"/>
                <w:sz w:val="22"/>
                <w:szCs w:val="22"/>
                <w:highlight w:val="none"/>
                <w:u w:val="none"/>
                <w:lang w:val="en-US" w:eastAsia="zh-CN" w:bidi="ar"/>
              </w:rPr>
              <w:t>的得2分，</w:t>
            </w:r>
            <w:r>
              <w:rPr>
                <w:rFonts w:hint="eastAsia" w:ascii="宋体" w:hAnsi="宋体" w:eastAsia="宋体" w:cs="宋体"/>
                <w:i w:val="0"/>
                <w:iCs w:val="0"/>
                <w:color w:val="auto"/>
                <w:kern w:val="0"/>
                <w:sz w:val="22"/>
                <w:szCs w:val="22"/>
                <w:highlight w:val="none"/>
                <w:u w:val="none"/>
                <w:lang w:val="en-US" w:eastAsia="zh-CN" w:bidi="ar"/>
              </w:rPr>
              <w:t>最高得4分。（须提供有意共建实践基地</w:t>
            </w:r>
            <w:r>
              <w:rPr>
                <w:rFonts w:hint="eastAsia" w:ascii="宋体" w:hAnsi="宋体" w:cs="宋体"/>
                <w:i w:val="0"/>
                <w:iCs w:val="0"/>
                <w:color w:val="auto"/>
                <w:kern w:val="0"/>
                <w:sz w:val="22"/>
                <w:szCs w:val="22"/>
                <w:highlight w:val="none"/>
                <w:u w:val="none"/>
                <w:lang w:val="en-US" w:eastAsia="zh-CN" w:bidi="ar"/>
              </w:rPr>
              <w:t>的意向协议</w:t>
            </w:r>
            <w:r>
              <w:rPr>
                <w:rFonts w:hint="eastAsia" w:ascii="宋体" w:hAnsi="宋体" w:eastAsia="宋体" w:cs="宋体"/>
                <w:i w:val="0"/>
                <w:iCs w:val="0"/>
                <w:color w:val="auto"/>
                <w:kern w:val="0"/>
                <w:sz w:val="22"/>
                <w:szCs w:val="22"/>
                <w:highlight w:val="none"/>
                <w:u w:val="none"/>
                <w:lang w:val="en-US" w:eastAsia="zh-CN" w:bidi="ar"/>
              </w:rPr>
              <w:t>和优先接收投标人推荐合作办学学生就业的书面材料，须加盖企业公章，如非中文还需提供中文翻译版，不提供不得分）。</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09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4</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20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客观分</w:t>
            </w:r>
          </w:p>
        </w:tc>
      </w:tr>
      <w:tr w14:paraId="4213E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925" w:type="dxa"/>
            <w:vMerge w:val="continue"/>
            <w:tcBorders>
              <w:left w:val="single" w:color="000000" w:sz="4" w:space="0"/>
              <w:bottom w:val="single" w:color="000000" w:sz="4" w:space="0"/>
              <w:right w:val="single" w:color="000000" w:sz="4" w:space="0"/>
            </w:tcBorders>
            <w:shd w:val="clear" w:color="auto" w:fill="auto"/>
            <w:vAlign w:val="center"/>
          </w:tcPr>
          <w:p w14:paraId="245FC3C6">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2"/>
                <w:szCs w:val="22"/>
                <w:highlight w:val="none"/>
                <w:u w:val="none"/>
              </w:rPr>
            </w:pPr>
          </w:p>
        </w:tc>
        <w:tc>
          <w:tcPr>
            <w:tcW w:w="1198" w:type="dxa"/>
            <w:vMerge w:val="continue"/>
            <w:tcBorders>
              <w:left w:val="single" w:color="000000" w:sz="4" w:space="0"/>
              <w:bottom w:val="single" w:color="000000" w:sz="4" w:space="0"/>
              <w:right w:val="single" w:color="000000" w:sz="4" w:space="0"/>
            </w:tcBorders>
            <w:shd w:val="clear" w:color="auto" w:fill="auto"/>
            <w:vAlign w:val="center"/>
          </w:tcPr>
          <w:p w14:paraId="4051AEA3">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2"/>
                <w:szCs w:val="22"/>
                <w:highlight w:val="none"/>
                <w:u w:val="none"/>
              </w:rPr>
            </w:pP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05B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投标人须具备专业标准、职业标准、课程标准的开发能力</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人工智能、大数据、信息安全、安全防范、物联网</w:t>
            </w:r>
            <w:r>
              <w:rPr>
                <w:rFonts w:hint="eastAsia" w:ascii="宋体" w:hAnsi="宋体" w:cs="宋体"/>
                <w:i w:val="0"/>
                <w:iCs w:val="0"/>
                <w:color w:val="auto"/>
                <w:kern w:val="0"/>
                <w:sz w:val="22"/>
                <w:szCs w:val="22"/>
                <w:highlight w:val="none"/>
                <w:u w:val="none"/>
                <w:lang w:val="en-US" w:eastAsia="zh-CN" w:bidi="ar"/>
              </w:rPr>
              <w:t>、智能制造相关）</w:t>
            </w:r>
            <w:r>
              <w:rPr>
                <w:rFonts w:hint="eastAsia" w:ascii="宋体" w:hAnsi="宋体" w:eastAsia="宋体" w:cs="宋体"/>
                <w:i w:val="0"/>
                <w:iCs w:val="0"/>
                <w:color w:val="auto"/>
                <w:kern w:val="0"/>
                <w:sz w:val="22"/>
                <w:szCs w:val="22"/>
                <w:highlight w:val="none"/>
                <w:u w:val="none"/>
                <w:lang w:val="en-US" w:eastAsia="zh-CN" w:bidi="ar"/>
              </w:rPr>
              <w:t>，能够为院校提供全方位、专业化的标准开发技术支撑服务：须提供参与标准</w:t>
            </w:r>
            <w:r>
              <w:rPr>
                <w:rFonts w:hint="eastAsia" w:ascii="宋体" w:hAnsi="宋体" w:cs="宋体"/>
                <w:i w:val="0"/>
                <w:iCs w:val="0"/>
                <w:color w:val="auto"/>
                <w:kern w:val="0"/>
                <w:sz w:val="22"/>
                <w:szCs w:val="22"/>
                <w:highlight w:val="none"/>
                <w:u w:val="none"/>
                <w:lang w:val="en-US" w:eastAsia="zh-CN" w:bidi="ar"/>
              </w:rPr>
              <w:t>的证明材料</w:t>
            </w:r>
            <w:r>
              <w:rPr>
                <w:rFonts w:hint="eastAsia" w:ascii="宋体" w:hAnsi="宋体" w:eastAsia="宋体" w:cs="宋体"/>
                <w:i w:val="0"/>
                <w:iCs w:val="0"/>
                <w:color w:val="auto"/>
                <w:kern w:val="0"/>
                <w:sz w:val="22"/>
                <w:szCs w:val="22"/>
                <w:highlight w:val="none"/>
                <w:u w:val="none"/>
                <w:lang w:val="en-US" w:eastAsia="zh-CN" w:bidi="ar"/>
              </w:rPr>
              <w:t>，并要求参与开发的标准须已通过国家相关主管部门审核，并在全国范围内正式发布实施（需提供标准发布公告、官方发布文件等佐证材料</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每提供一</w:t>
            </w:r>
            <w:r>
              <w:rPr>
                <w:rFonts w:hint="eastAsia" w:ascii="宋体" w:hAnsi="宋体" w:cs="宋体"/>
                <w:i w:val="0"/>
                <w:iCs w:val="0"/>
                <w:color w:val="auto"/>
                <w:kern w:val="0"/>
                <w:sz w:val="22"/>
                <w:szCs w:val="22"/>
                <w:highlight w:val="none"/>
                <w:u w:val="none"/>
                <w:lang w:val="en-US" w:eastAsia="zh-CN" w:bidi="ar"/>
              </w:rPr>
              <w:t>项标准佐证材料</w:t>
            </w:r>
            <w:r>
              <w:rPr>
                <w:rFonts w:hint="eastAsia" w:ascii="宋体" w:hAnsi="宋体" w:eastAsia="宋体" w:cs="宋体"/>
                <w:i w:val="0"/>
                <w:iCs w:val="0"/>
                <w:color w:val="auto"/>
                <w:kern w:val="0"/>
                <w:sz w:val="22"/>
                <w:szCs w:val="22"/>
                <w:highlight w:val="none"/>
                <w:u w:val="none"/>
                <w:lang w:val="en-US" w:eastAsia="zh-CN" w:bidi="ar"/>
              </w:rPr>
              <w:t>得3分，最高得6分。）</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5E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6</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68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客观分</w:t>
            </w:r>
          </w:p>
        </w:tc>
      </w:tr>
      <w:tr w14:paraId="178CF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3" w:hRule="atLeast"/>
        </w:trPr>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2AB1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EA58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总体服务方案</w:t>
            </w: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D85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标人对本项目的需求理解准确，重点、难点、关键点的理解和分析合理、深入透彻，描述全面详细，给予用户具体的建设性意见，可行性分析由评委综合评分，内容至少体现与哈萨克斯坦合作院校的签约与揭牌、实训基地的建立与平台的对接、中方教师赴外开展培训、向哈萨克斯坦中资企业输送实习人员、招收外籍学生、标准和课程的制定。（评分范围：</w:t>
            </w:r>
            <w:r>
              <w:rPr>
                <w:rFonts w:hint="eastAsia" w:ascii="宋体" w:hAnsi="宋体" w:cs="宋体"/>
                <w:i w:val="0"/>
                <w:iCs w:val="0"/>
                <w:color w:val="auto"/>
                <w:kern w:val="0"/>
                <w:sz w:val="22"/>
                <w:szCs w:val="22"/>
                <w:highlight w:val="none"/>
                <w:u w:val="none"/>
                <w:lang w:val="en-US" w:eastAsia="zh-CN" w:bidi="ar"/>
              </w:rPr>
              <w:t>7</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6</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5</w:t>
            </w:r>
            <w:r>
              <w:rPr>
                <w:rFonts w:hint="eastAsia" w:ascii="宋体" w:hAnsi="宋体" w:eastAsia="宋体" w:cs="宋体"/>
                <w:i w:val="0"/>
                <w:iCs w:val="0"/>
                <w:color w:val="auto"/>
                <w:kern w:val="0"/>
                <w:sz w:val="22"/>
                <w:szCs w:val="22"/>
                <w:highlight w:val="none"/>
                <w:u w:val="none"/>
                <w:lang w:val="en-US" w:eastAsia="zh-CN" w:bidi="ar"/>
              </w:rPr>
              <w:t>,4,3,2,1,0）</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F0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7</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06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主观分</w:t>
            </w:r>
          </w:p>
        </w:tc>
      </w:tr>
      <w:tr w14:paraId="163C8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3" w:hRule="atLeast"/>
        </w:trPr>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205DE">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2"/>
                <w:szCs w:val="22"/>
                <w:highlight w:val="none"/>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D45D4">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2"/>
                <w:szCs w:val="22"/>
                <w:highlight w:val="none"/>
                <w:u w:val="none"/>
              </w:rPr>
            </w:pP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E10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标人对相关政策理解深刻，思路描述清晰明确，总体服务方案内容详细，针对性强，可行性、成熟性、可管理性、规范性强由评委综合评分，内容至少体现与哈萨克斯坦合作院校的签约与揭牌、实训基地的建立与平台的对接、中方教师赴外开展培训、向哈萨克斯坦中资企业输送实习人员、招收外籍学生、标准和课程的制定。（评分范围：</w:t>
            </w:r>
            <w:r>
              <w:rPr>
                <w:rFonts w:hint="eastAsia" w:ascii="宋体" w:hAnsi="宋体" w:cs="宋体"/>
                <w:i w:val="0"/>
                <w:iCs w:val="0"/>
                <w:color w:val="auto"/>
                <w:kern w:val="0"/>
                <w:sz w:val="22"/>
                <w:szCs w:val="22"/>
                <w:highlight w:val="none"/>
                <w:u w:val="none"/>
                <w:lang w:val="en-US" w:eastAsia="zh-CN" w:bidi="ar"/>
              </w:rPr>
              <w:t>6</w:t>
            </w:r>
            <w:r>
              <w:rPr>
                <w:rFonts w:hint="eastAsia" w:ascii="宋体" w:hAnsi="宋体" w:eastAsia="宋体" w:cs="宋体"/>
                <w:i w:val="0"/>
                <w:iCs w:val="0"/>
                <w:color w:val="auto"/>
                <w:kern w:val="0"/>
                <w:sz w:val="22"/>
                <w:szCs w:val="22"/>
                <w:highlight w:val="none"/>
                <w:u w:val="none"/>
                <w:lang w:val="en-US" w:eastAsia="zh-CN" w:bidi="ar"/>
              </w:rPr>
              <w:t>,5,4,3,2,1,0）</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B6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6</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53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主观分</w:t>
            </w:r>
          </w:p>
        </w:tc>
      </w:tr>
      <w:tr w14:paraId="2C9F9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A8C3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1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DF48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平台功能情况</w:t>
            </w: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2CD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kern w:val="0"/>
                <w:sz w:val="22"/>
                <w:szCs w:val="22"/>
                <w:highlight w:val="none"/>
                <w:u w:val="none"/>
                <w:lang w:val="en-US" w:eastAsia="zh-CN" w:bidi="ar"/>
              </w:rPr>
              <w:t>智慧实训</w:t>
            </w:r>
            <w:r>
              <w:rPr>
                <w:rFonts w:hint="eastAsia" w:ascii="宋体" w:hAnsi="宋体" w:cs="宋体"/>
                <w:i w:val="0"/>
                <w:iCs w:val="0"/>
                <w:color w:val="auto"/>
                <w:kern w:val="0"/>
                <w:sz w:val="22"/>
                <w:szCs w:val="22"/>
                <w:highlight w:val="none"/>
                <w:u w:val="none"/>
                <w:lang w:val="en-US" w:eastAsia="zh-CN" w:bidi="ar"/>
              </w:rPr>
              <w:t>云</w:t>
            </w:r>
            <w:r>
              <w:rPr>
                <w:rFonts w:hint="eastAsia" w:ascii="宋体" w:hAnsi="宋体" w:eastAsia="宋体" w:cs="宋体"/>
                <w:i w:val="0"/>
                <w:iCs w:val="0"/>
                <w:color w:val="auto"/>
                <w:kern w:val="0"/>
                <w:sz w:val="22"/>
                <w:szCs w:val="22"/>
                <w:highlight w:val="none"/>
                <w:u w:val="none"/>
                <w:lang w:val="en-US" w:eastAsia="zh-CN" w:bidi="ar"/>
              </w:rPr>
              <w:t>平台</w:t>
            </w:r>
            <w:r>
              <w:rPr>
                <w:rFonts w:hint="eastAsia" w:ascii="宋体" w:hAnsi="宋体" w:cs="宋体"/>
                <w:i w:val="0"/>
                <w:iCs w:val="0"/>
                <w:color w:val="auto"/>
                <w:kern w:val="0"/>
                <w:sz w:val="22"/>
                <w:szCs w:val="22"/>
                <w:highlight w:val="none"/>
                <w:u w:val="none"/>
                <w:lang w:val="en-US" w:eastAsia="zh-CN" w:bidi="ar"/>
              </w:rPr>
              <w:t>可</w:t>
            </w:r>
            <w:r>
              <w:rPr>
                <w:rFonts w:hint="eastAsia" w:ascii="宋体" w:hAnsi="宋体" w:eastAsia="宋体" w:cs="宋体"/>
                <w:i w:val="0"/>
                <w:iCs w:val="0"/>
                <w:color w:val="auto"/>
                <w:kern w:val="0"/>
                <w:sz w:val="22"/>
                <w:szCs w:val="22"/>
                <w:highlight w:val="none"/>
                <w:u w:val="none"/>
                <w:lang w:val="en-US" w:eastAsia="zh-CN" w:bidi="ar"/>
              </w:rPr>
              <w:t>以进行教师账户管理、班级管理、课程管理、实验管理、学生管理等操作。</w:t>
            </w:r>
            <w:r>
              <w:rPr>
                <w:rFonts w:hint="eastAsia" w:ascii="宋体" w:hAnsi="宋体" w:eastAsia="宋体" w:cs="宋体"/>
                <w:b w:val="0"/>
                <w:bCs/>
                <w:i w:val="0"/>
                <w:strike w:val="0"/>
                <w:color w:val="auto"/>
                <w:spacing w:val="0"/>
                <w:sz w:val="22"/>
                <w:szCs w:val="22"/>
                <w:highlight w:val="none"/>
                <w:u w:val="none"/>
              </w:rPr>
              <w:t>须具备自然语言处理</w:t>
            </w:r>
            <w:r>
              <w:rPr>
                <w:rFonts w:hint="eastAsia" w:ascii="宋体" w:hAnsi="宋体" w:eastAsia="宋体" w:cs="宋体"/>
                <w:b w:val="0"/>
                <w:bCs/>
                <w:i w:val="0"/>
                <w:strike w:val="0"/>
                <w:color w:val="auto"/>
                <w:spacing w:val="0"/>
                <w:sz w:val="22"/>
                <w:szCs w:val="22"/>
                <w:highlight w:val="none"/>
                <w:u w:val="none"/>
                <w:lang w:val="en-US" w:eastAsia="zh-CN"/>
              </w:rPr>
              <w:t>能力</w:t>
            </w:r>
            <w:r>
              <w:rPr>
                <w:rFonts w:hint="eastAsia" w:ascii="宋体" w:hAnsi="宋体" w:eastAsia="宋体" w:cs="宋体"/>
                <w:b w:val="0"/>
                <w:bCs/>
                <w:i w:val="0"/>
                <w:strike w:val="0"/>
                <w:color w:val="auto"/>
                <w:spacing w:val="0"/>
                <w:sz w:val="22"/>
                <w:szCs w:val="22"/>
                <w:highlight w:val="none"/>
                <w:u w:val="none"/>
              </w:rPr>
              <w:t>，</w:t>
            </w:r>
            <w:r>
              <w:rPr>
                <w:rFonts w:hint="eastAsia" w:ascii="宋体" w:hAnsi="宋体" w:eastAsia="宋体" w:cs="宋体"/>
                <w:b w:val="0"/>
                <w:i w:val="0"/>
                <w:strike w:val="0"/>
                <w:color w:val="auto"/>
                <w:spacing w:val="0"/>
                <w:sz w:val="22"/>
                <w:szCs w:val="22"/>
                <w:highlight w:val="none"/>
                <w:u w:val="none"/>
              </w:rPr>
              <w:t>通过问答的形式解决学习难点。</w:t>
            </w:r>
            <w:r>
              <w:rPr>
                <w:rFonts w:hint="eastAsia" w:ascii="宋体" w:hAnsi="宋体" w:cs="宋体"/>
                <w:b w:val="0"/>
                <w:i w:val="0"/>
                <w:strike w:val="0"/>
                <w:color w:val="auto"/>
                <w:spacing w:val="0"/>
                <w:sz w:val="22"/>
                <w:szCs w:val="22"/>
                <w:highlight w:val="none"/>
                <w:u w:val="none"/>
                <w:lang w:eastAsia="zh-CN"/>
              </w:rPr>
              <w:t>（</w:t>
            </w:r>
            <w:r>
              <w:rPr>
                <w:rFonts w:hint="eastAsia" w:ascii="宋体" w:hAnsi="宋体" w:cs="宋体"/>
                <w:b w:val="0"/>
                <w:i w:val="0"/>
                <w:strike w:val="0"/>
                <w:color w:val="auto"/>
                <w:spacing w:val="0"/>
                <w:sz w:val="22"/>
                <w:szCs w:val="22"/>
                <w:highlight w:val="none"/>
                <w:u w:val="none"/>
                <w:lang w:val="en-US" w:eastAsia="zh-CN"/>
              </w:rPr>
              <w:t>提供演示视频，满足功能要求的得,1分，不提供或不满足需求不得分</w:t>
            </w:r>
            <w:r>
              <w:rPr>
                <w:rFonts w:hint="eastAsia" w:ascii="宋体" w:hAnsi="宋体" w:cs="宋体"/>
                <w:b w:val="0"/>
                <w:i w:val="0"/>
                <w:strike w:val="0"/>
                <w:color w:val="auto"/>
                <w:spacing w:val="0"/>
                <w:sz w:val="22"/>
                <w:szCs w:val="22"/>
                <w:highlight w:val="none"/>
                <w:u w:val="none"/>
                <w:lang w:eastAsia="zh-CN"/>
              </w:rPr>
              <w:t>）</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59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72C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客观分</w:t>
            </w:r>
          </w:p>
        </w:tc>
      </w:tr>
      <w:tr w14:paraId="21CA1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4" w:hRule="atLeast"/>
        </w:trPr>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44C9A">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2"/>
                <w:szCs w:val="22"/>
                <w:highlight w:val="none"/>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7E5E3">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2"/>
                <w:szCs w:val="22"/>
                <w:highlight w:val="none"/>
                <w:u w:val="none"/>
              </w:rPr>
            </w:pP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8DC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翻译工具支持多语种同传播报、多语种实时字幕分享、自定义配置至少10个子账号权益</w:t>
            </w:r>
            <w:r>
              <w:rPr>
                <w:rFonts w:hint="eastAsia" w:ascii="宋体" w:hAnsi="宋体" w:cs="宋体"/>
                <w:b w:val="0"/>
                <w:i w:val="0"/>
                <w:strike w:val="0"/>
                <w:color w:val="auto"/>
                <w:spacing w:val="0"/>
                <w:sz w:val="22"/>
                <w:szCs w:val="22"/>
                <w:highlight w:val="none"/>
                <w:u w:val="none"/>
                <w:lang w:eastAsia="zh-CN"/>
              </w:rPr>
              <w:t>（</w:t>
            </w:r>
            <w:r>
              <w:rPr>
                <w:rFonts w:hint="eastAsia" w:ascii="宋体" w:hAnsi="宋体" w:cs="宋体"/>
                <w:b w:val="0"/>
                <w:i w:val="0"/>
                <w:strike w:val="0"/>
                <w:color w:val="auto"/>
                <w:spacing w:val="0"/>
                <w:sz w:val="22"/>
                <w:szCs w:val="22"/>
                <w:highlight w:val="none"/>
                <w:u w:val="none"/>
                <w:lang w:val="en-US" w:eastAsia="zh-CN"/>
              </w:rPr>
              <w:t>提供演示视频，满足功能要求。</w:t>
            </w:r>
            <w:r>
              <w:rPr>
                <w:rFonts w:hint="eastAsia" w:ascii="宋体" w:hAnsi="宋体" w:cs="宋体"/>
                <w:b w:val="0"/>
                <w:i w:val="0"/>
                <w:strike w:val="0"/>
                <w:color w:val="auto"/>
                <w:spacing w:val="0"/>
                <w:sz w:val="22"/>
                <w:szCs w:val="22"/>
                <w:highlight w:val="none"/>
                <w:u w:val="none"/>
                <w:lang w:eastAsia="zh-CN"/>
              </w:rPr>
              <w:t>）</w:t>
            </w:r>
            <w:r>
              <w:rPr>
                <w:rFonts w:hint="eastAsia" w:ascii="宋体" w:hAnsi="宋体" w:cs="宋体"/>
                <w:i w:val="0"/>
                <w:iCs w:val="0"/>
                <w:color w:val="auto"/>
                <w:kern w:val="0"/>
                <w:sz w:val="22"/>
                <w:szCs w:val="22"/>
                <w:highlight w:val="none"/>
                <w:u w:val="none"/>
                <w:lang w:val="en-US" w:eastAsia="zh-CN" w:bidi="ar"/>
              </w:rPr>
              <w:t>；</w:t>
            </w:r>
          </w:p>
          <w:p w14:paraId="6348323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通用场景下英文语音识别准确率不低于95% ，俄文不低于85%(提供</w:t>
            </w:r>
            <w:r>
              <w:rPr>
                <w:rFonts w:hint="eastAsia" w:ascii="宋体" w:hAnsi="宋体" w:cs="宋体"/>
                <w:i w:val="0"/>
                <w:iCs w:val="0"/>
                <w:color w:val="auto"/>
                <w:kern w:val="0"/>
                <w:sz w:val="22"/>
                <w:szCs w:val="22"/>
                <w:highlight w:val="none"/>
                <w:u w:val="none"/>
                <w:lang w:val="en-US" w:eastAsia="zh-CN" w:bidi="ar"/>
              </w:rPr>
              <w:t>第三方检测机构出具带CMA标志的</w:t>
            </w:r>
            <w:r>
              <w:rPr>
                <w:rFonts w:hint="eastAsia" w:ascii="宋体" w:hAnsi="宋体" w:eastAsia="宋体" w:cs="宋体"/>
                <w:i w:val="0"/>
                <w:iCs w:val="0"/>
                <w:color w:val="auto"/>
                <w:kern w:val="0"/>
                <w:sz w:val="22"/>
                <w:szCs w:val="22"/>
                <w:highlight w:val="none"/>
                <w:u w:val="none"/>
                <w:lang w:val="en-US" w:eastAsia="zh-CN" w:bidi="ar"/>
              </w:rPr>
              <w:t>检测报告</w:t>
            </w:r>
            <w:r>
              <w:rPr>
                <w:rFonts w:hint="eastAsia" w:ascii="宋体" w:hAnsi="宋体" w:cs="宋体"/>
                <w:i w:val="0"/>
                <w:iCs w:val="0"/>
                <w:color w:val="auto"/>
                <w:kern w:val="0"/>
                <w:sz w:val="22"/>
                <w:szCs w:val="22"/>
                <w:highlight w:val="none"/>
                <w:u w:val="none"/>
                <w:lang w:val="en-US" w:eastAsia="zh-CN" w:bidi="ar"/>
              </w:rPr>
              <w:t>扫描件</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w:t>
            </w:r>
          </w:p>
          <w:p w14:paraId="72B65D4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支持机器学习优化（关键词优化、翻译优化、术语词替换）</w:t>
            </w:r>
            <w:r>
              <w:rPr>
                <w:rFonts w:hint="eastAsia" w:ascii="宋体" w:hAnsi="宋体" w:cs="宋体"/>
                <w:b w:val="0"/>
                <w:i w:val="0"/>
                <w:strike w:val="0"/>
                <w:color w:val="auto"/>
                <w:spacing w:val="0"/>
                <w:sz w:val="22"/>
                <w:szCs w:val="22"/>
                <w:highlight w:val="none"/>
                <w:u w:val="none"/>
                <w:lang w:eastAsia="zh-CN"/>
              </w:rPr>
              <w:t>（</w:t>
            </w:r>
            <w:r>
              <w:rPr>
                <w:rFonts w:hint="eastAsia" w:ascii="宋体" w:hAnsi="宋体" w:cs="宋体"/>
                <w:b w:val="0"/>
                <w:i w:val="0"/>
                <w:strike w:val="0"/>
                <w:color w:val="auto"/>
                <w:spacing w:val="0"/>
                <w:sz w:val="22"/>
                <w:szCs w:val="22"/>
                <w:highlight w:val="none"/>
                <w:u w:val="none"/>
                <w:lang w:val="en-US" w:eastAsia="zh-CN"/>
              </w:rPr>
              <w:t>提供演示视频，满足功能要求</w:t>
            </w:r>
            <w:r>
              <w:rPr>
                <w:rFonts w:hint="eastAsia" w:ascii="宋体" w:hAnsi="宋体" w:cs="宋体"/>
                <w:b w:val="0"/>
                <w:i w:val="0"/>
                <w:strike w:val="0"/>
                <w:color w:val="auto"/>
                <w:spacing w:val="0"/>
                <w:sz w:val="22"/>
                <w:szCs w:val="22"/>
                <w:highlight w:val="none"/>
                <w:u w:val="none"/>
                <w:lang w:eastAsia="zh-CN"/>
              </w:rPr>
              <w:t>）</w:t>
            </w:r>
            <w:r>
              <w:rPr>
                <w:rFonts w:hint="eastAsia" w:ascii="宋体" w:hAnsi="宋体" w:eastAsia="宋体" w:cs="宋体"/>
                <w:i w:val="0"/>
                <w:iCs w:val="0"/>
                <w:color w:val="auto"/>
                <w:kern w:val="0"/>
                <w:sz w:val="22"/>
                <w:szCs w:val="22"/>
                <w:highlight w:val="none"/>
                <w:u w:val="none"/>
                <w:lang w:val="en-US" w:eastAsia="zh-CN" w:bidi="ar"/>
              </w:rPr>
              <w:t>。</w:t>
            </w:r>
          </w:p>
          <w:p w14:paraId="61D668E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i w:val="0"/>
                <w:strike w:val="0"/>
                <w:color w:val="auto"/>
                <w:spacing w:val="0"/>
                <w:sz w:val="22"/>
                <w:szCs w:val="22"/>
                <w:highlight w:val="none"/>
                <w:u w:val="none"/>
                <w:lang w:val="en-US" w:eastAsia="zh-CN"/>
              </w:rPr>
              <w:t>上述3点中任意一点没有满足的，则该项不得分。</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1C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8F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客观分</w:t>
            </w:r>
          </w:p>
        </w:tc>
      </w:tr>
      <w:tr w14:paraId="40F93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23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B4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项目进度计划安排</w:t>
            </w: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51F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投标人制定的工作计划及时间进度安排流程合理，节点明确，有针对性、可操作性由评委综合评分。（评分范围：5,4,3,2,1,0）</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A7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8F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主观分</w:t>
            </w:r>
          </w:p>
        </w:tc>
      </w:tr>
      <w:tr w14:paraId="5237E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1D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8E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项目应急措施方案</w:t>
            </w: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5FB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投标人结合项目要求，阐述本项目的应急预案，并提出合理的解决方案，问题总结全面、针对性强，方案可实施性由评委综合评分。（评分范围：5,4,3,2,1,0）</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6E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BD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主观分</w:t>
            </w:r>
          </w:p>
        </w:tc>
      </w:tr>
      <w:tr w14:paraId="22F7D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6C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40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安全及服务质量保证</w:t>
            </w: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47F8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根据全程相应的安全方面的承诺（含不限于保险承诺）及服务质量保障措施等方案。根据方案是否覆盖全面、是否科学合理、具有针对性和可操作性打分。（评分范围：5,4,3,2,1,0）</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43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10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主观分</w:t>
            </w:r>
          </w:p>
        </w:tc>
      </w:tr>
      <w:tr w14:paraId="38E7A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69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26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保密方案</w:t>
            </w: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2D2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对服务过程中校方人员及学生信息及教育交流情况采取的保密措施和方案。（评分范围：</w:t>
            </w:r>
            <w:r>
              <w:rPr>
                <w:rFonts w:hint="eastAsia" w:ascii="宋体" w:hAnsi="宋体" w:cs="宋体"/>
                <w:i w:val="0"/>
                <w:iCs w:val="0"/>
                <w:color w:val="auto"/>
                <w:kern w:val="0"/>
                <w:sz w:val="22"/>
                <w:szCs w:val="22"/>
                <w:highlight w:val="none"/>
                <w:u w:val="none"/>
                <w:lang w:val="en-US" w:eastAsia="zh-CN" w:bidi="ar"/>
              </w:rPr>
              <w:t>5,</w:t>
            </w:r>
            <w:r>
              <w:rPr>
                <w:rFonts w:hint="eastAsia" w:ascii="宋体" w:hAnsi="宋体" w:eastAsia="宋体" w:cs="宋体"/>
                <w:i w:val="0"/>
                <w:iCs w:val="0"/>
                <w:color w:val="auto"/>
                <w:kern w:val="0"/>
                <w:sz w:val="22"/>
                <w:szCs w:val="22"/>
                <w:highlight w:val="none"/>
                <w:u w:val="none"/>
                <w:lang w:val="en-US" w:eastAsia="zh-CN" w:bidi="ar"/>
              </w:rPr>
              <w:t>4,3,2,1,0）</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AD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5</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67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主观分</w:t>
            </w:r>
          </w:p>
        </w:tc>
      </w:tr>
      <w:tr w14:paraId="25B1D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3C1A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1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697D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项目团队人员配备方案</w:t>
            </w: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E44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投标人针对本项目提供人员（含项目负责人）配备方案，包括但不限于：拟投入的技术人员及各专业搭配、职责分工、相关经验</w:t>
            </w:r>
            <w:r>
              <w:rPr>
                <w:rFonts w:hint="eastAsia" w:ascii="宋体" w:hAnsi="宋体" w:cs="宋体"/>
                <w:i w:val="0"/>
                <w:iCs w:val="0"/>
                <w:color w:val="auto"/>
                <w:kern w:val="0"/>
                <w:sz w:val="22"/>
                <w:szCs w:val="22"/>
                <w:highlight w:val="none"/>
                <w:u w:val="none"/>
                <w:lang w:val="en-US" w:eastAsia="zh-CN" w:bidi="ar"/>
              </w:rPr>
              <w:t>、职业技能证书</w:t>
            </w:r>
            <w:r>
              <w:rPr>
                <w:rFonts w:hint="eastAsia" w:ascii="宋体" w:hAnsi="宋体" w:eastAsia="宋体" w:cs="宋体"/>
                <w:i w:val="0"/>
                <w:iCs w:val="0"/>
                <w:color w:val="auto"/>
                <w:kern w:val="0"/>
                <w:sz w:val="22"/>
                <w:szCs w:val="22"/>
                <w:highlight w:val="none"/>
                <w:u w:val="none"/>
                <w:lang w:val="en-US" w:eastAsia="zh-CN" w:bidi="ar"/>
              </w:rPr>
              <w:t>等内容，由评委综合评分。（评分范围：</w:t>
            </w:r>
            <w:r>
              <w:rPr>
                <w:rFonts w:hint="eastAsia" w:ascii="宋体" w:hAnsi="宋体" w:cs="宋体"/>
                <w:i w:val="0"/>
                <w:iCs w:val="0"/>
                <w:color w:val="auto"/>
                <w:kern w:val="0"/>
                <w:sz w:val="22"/>
                <w:szCs w:val="22"/>
                <w:highlight w:val="none"/>
                <w:u w:val="none"/>
                <w:lang w:val="en-US" w:eastAsia="zh-CN" w:bidi="ar"/>
              </w:rPr>
              <w:t>5,</w:t>
            </w:r>
            <w:r>
              <w:rPr>
                <w:rFonts w:hint="eastAsia" w:ascii="宋体" w:hAnsi="宋体" w:eastAsia="宋体" w:cs="宋体"/>
                <w:i w:val="0"/>
                <w:iCs w:val="0"/>
                <w:color w:val="auto"/>
                <w:kern w:val="0"/>
                <w:sz w:val="22"/>
                <w:szCs w:val="22"/>
                <w:highlight w:val="none"/>
                <w:u w:val="none"/>
                <w:lang w:val="en-US" w:eastAsia="zh-CN" w:bidi="ar"/>
              </w:rPr>
              <w:t>4,3,2,1,0）。</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A8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5</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11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主观分</w:t>
            </w:r>
          </w:p>
        </w:tc>
      </w:tr>
      <w:tr w14:paraId="7A130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237AC">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2"/>
                <w:szCs w:val="22"/>
                <w:highlight w:val="none"/>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9E469">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2"/>
                <w:szCs w:val="22"/>
                <w:highlight w:val="none"/>
                <w:u w:val="none"/>
              </w:rPr>
            </w:pP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5CA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标人团队中至少配备2名具备哈萨克语、俄语、中文三语沟通能力，能够胜任各环节中的现场翻译、书面翻译与交流协调工作。需提供学历证书，团队成员为哈萨克斯坦国籍的，需要提供HSK成绩报告，HSK成绩不低于5级；团队成员为中国国籍的，需要提供哈萨克斯坦语或俄语的语言认证</w:t>
            </w:r>
            <w:r>
              <w:rPr>
                <w:rFonts w:hint="eastAsia" w:ascii="宋体" w:hAnsi="宋体" w:cs="宋体"/>
                <w:i w:val="0"/>
                <w:iCs w:val="0"/>
                <w:color w:val="auto"/>
                <w:kern w:val="0"/>
                <w:sz w:val="22"/>
                <w:szCs w:val="22"/>
                <w:highlight w:val="none"/>
                <w:u w:val="none"/>
                <w:lang w:val="en-US" w:eastAsia="zh-CN" w:bidi="ar"/>
              </w:rPr>
              <w:t>（如非中文还需提供中文翻译版）</w:t>
            </w:r>
            <w:r>
              <w:rPr>
                <w:rFonts w:hint="eastAsia" w:ascii="宋体" w:hAnsi="宋体" w:eastAsia="宋体" w:cs="宋体"/>
                <w:i w:val="0"/>
                <w:iCs w:val="0"/>
                <w:color w:val="auto"/>
                <w:kern w:val="0"/>
                <w:sz w:val="22"/>
                <w:szCs w:val="22"/>
                <w:highlight w:val="none"/>
                <w:u w:val="none"/>
                <w:lang w:val="en-US" w:eastAsia="zh-CN" w:bidi="ar"/>
              </w:rPr>
              <w:t>，成绩不低于B1（中级水平）。每提供一个人员完整的证书证明材料得2分，不提供不得分，满分4分。</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54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89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客观分</w:t>
            </w:r>
          </w:p>
        </w:tc>
      </w:tr>
    </w:tbl>
    <w:p w14:paraId="1A38EC5D">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2.   </w:t>
      </w:r>
      <w:r>
        <w:rPr>
          <w:rFonts w:hint="eastAsia" w:ascii="宋体" w:hAnsi="宋体" w:cs="宋体"/>
          <w:b/>
          <w:color w:val="auto"/>
          <w:sz w:val="22"/>
          <w:szCs w:val="22"/>
          <w:highlight w:val="none"/>
        </w:rPr>
        <w:t>价格评分（3</w:t>
      </w:r>
      <w:r>
        <w:rPr>
          <w:rFonts w:ascii="宋体" w:hAnsi="宋体" w:cs="宋体"/>
          <w:b/>
          <w:color w:val="auto"/>
          <w:sz w:val="22"/>
          <w:szCs w:val="22"/>
          <w:highlight w:val="none"/>
        </w:rPr>
        <w:t>0</w:t>
      </w:r>
      <w:r>
        <w:rPr>
          <w:rFonts w:hint="eastAsia" w:ascii="宋体" w:hAnsi="宋体" w:cs="宋体"/>
          <w:b/>
          <w:color w:val="auto"/>
          <w:sz w:val="22"/>
          <w:szCs w:val="22"/>
          <w:highlight w:val="none"/>
        </w:rPr>
        <w:t>分）</w:t>
      </w:r>
      <w:r>
        <w:rPr>
          <w:rFonts w:hint="eastAsia" w:ascii="宋体" w:hAnsi="宋体" w:cs="宋体"/>
          <w:color w:val="auto"/>
          <w:sz w:val="22"/>
          <w:szCs w:val="22"/>
          <w:highlight w:val="none"/>
        </w:rPr>
        <w:t>：</w:t>
      </w:r>
    </w:p>
    <w:p w14:paraId="406C38BA">
      <w:pPr>
        <w:spacing w:line="440" w:lineRule="exact"/>
        <w:ind w:left="328" w:leftChars="156"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满足招标文件要求且投标价格最低的投标报价为评标基准价。</w:t>
      </w:r>
    </w:p>
    <w:p w14:paraId="52BB9F16">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（1）有效投标人的投标报价等于评标基准价时其价格分为满分3</w:t>
      </w:r>
      <w:r>
        <w:rPr>
          <w:rFonts w:ascii="宋体" w:hAnsi="宋体" w:cs="宋体"/>
          <w:color w:val="auto"/>
          <w:sz w:val="22"/>
          <w:szCs w:val="22"/>
          <w:highlight w:val="none"/>
        </w:rPr>
        <w:t>0</w:t>
      </w:r>
      <w:r>
        <w:rPr>
          <w:rFonts w:hint="eastAsia" w:ascii="宋体" w:hAnsi="宋体" w:cs="宋体"/>
          <w:color w:val="auto"/>
          <w:sz w:val="22"/>
          <w:szCs w:val="22"/>
          <w:highlight w:val="none"/>
        </w:rPr>
        <w:t>分；</w:t>
      </w:r>
    </w:p>
    <w:p w14:paraId="06CA38B1">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（2）其他投标人的价格分按以下公式计算：</w:t>
      </w:r>
    </w:p>
    <w:p w14:paraId="13325C1A">
      <w:pPr>
        <w:spacing w:line="440" w:lineRule="exact"/>
        <w:ind w:left="548" w:leftChars="261"/>
        <w:rPr>
          <w:rFonts w:ascii="宋体" w:hAnsi="宋体" w:cs="宋体"/>
          <w:color w:val="auto"/>
          <w:sz w:val="22"/>
          <w:szCs w:val="22"/>
          <w:highlight w:val="none"/>
        </w:rPr>
      </w:pPr>
      <w:r>
        <w:rPr>
          <w:rFonts w:hint="eastAsia" w:ascii="宋体" w:hAnsi="宋体" w:cs="宋体"/>
          <w:color w:val="auto"/>
          <w:sz w:val="22"/>
          <w:szCs w:val="22"/>
          <w:highlight w:val="none"/>
        </w:rPr>
        <w:t>投标报价得分=（评标基准价/投标人投标价）× 价格权值 ×100（四舍五入，保留小数点后2位）</w:t>
      </w:r>
    </w:p>
    <w:p w14:paraId="00066989">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（3）如投标人报价超过采购预算，按无效标处理。</w:t>
      </w:r>
    </w:p>
    <w:p w14:paraId="1B8C666F">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3．  有效投标人的综合得分为商务技术分和价格分的总和。</w:t>
      </w:r>
    </w:p>
    <w:p w14:paraId="187EDFE8">
      <w:pPr>
        <w:spacing w:line="440" w:lineRule="exact"/>
        <w:ind w:left="552" w:hanging="552" w:hangingChars="250"/>
        <w:rPr>
          <w:rFonts w:ascii="宋体" w:hAnsi="宋体" w:cs="宋体"/>
          <w:b/>
          <w:color w:val="auto"/>
          <w:sz w:val="22"/>
          <w:szCs w:val="22"/>
          <w:highlight w:val="none"/>
        </w:rPr>
      </w:pPr>
      <w:r>
        <w:rPr>
          <w:rFonts w:hint="eastAsia" w:ascii="宋体" w:hAnsi="宋体" w:cs="宋体"/>
          <w:b/>
          <w:color w:val="auto"/>
          <w:sz w:val="22"/>
          <w:szCs w:val="22"/>
          <w:highlight w:val="none"/>
        </w:rPr>
        <w:t>六． 推荐中标候选人</w:t>
      </w:r>
    </w:p>
    <w:p w14:paraId="3CD8B027">
      <w:pPr>
        <w:spacing w:line="440" w:lineRule="exact"/>
        <w:ind w:left="548" w:leftChars="261"/>
        <w:rPr>
          <w:rFonts w:ascii="宋体" w:hAnsi="宋体" w:cs="宋体"/>
          <w:color w:val="auto"/>
          <w:sz w:val="22"/>
          <w:szCs w:val="22"/>
          <w:highlight w:val="none"/>
        </w:rPr>
      </w:pPr>
      <w:r>
        <w:rPr>
          <w:rFonts w:hint="eastAsia" w:ascii="宋体" w:hAnsi="宋体" w:cs="宋体"/>
          <w:color w:val="auto"/>
          <w:sz w:val="22"/>
          <w:szCs w:val="22"/>
          <w:highlight w:val="none"/>
        </w:rPr>
        <w:t>评标委员会依据投标文件满足招标文件全部实质性要求，且按照评审因素的量化指标评审得分（即商务技术分与价格分之和）由高到低顺序排序，得分前二名的投标人推荐为该项目的第一和第二中标候选人（得分相同的，按投标报价由低到高排序；得分且投标报价相同的并列）。</w:t>
      </w:r>
    </w:p>
    <w:p w14:paraId="64768441">
      <w:pPr>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七． 确定中标人</w:t>
      </w:r>
    </w:p>
    <w:p w14:paraId="1A95DA8F">
      <w:pPr>
        <w:spacing w:line="440" w:lineRule="exact"/>
        <w:ind w:left="548" w:leftChars="261"/>
        <w:rPr>
          <w:rFonts w:ascii="宋体" w:hAnsi="宋体" w:cs="宋体"/>
          <w:color w:val="auto"/>
          <w:sz w:val="22"/>
          <w:szCs w:val="22"/>
          <w:highlight w:val="none"/>
        </w:rPr>
      </w:pPr>
      <w:r>
        <w:rPr>
          <w:rFonts w:hint="eastAsia" w:ascii="宋体" w:hAnsi="宋体" w:cs="宋体"/>
          <w:color w:val="auto"/>
          <w:sz w:val="22"/>
          <w:szCs w:val="22"/>
          <w:highlight w:val="none"/>
        </w:rPr>
        <w:t>采购人根据评标委员会推荐的中标候选人确定中标人。中标人确定后，中标结果在财政部门指定的信息发布媒体上公告并公布《中小企业声明函》（如有），在发布中标公告的同时，采购人和采购代理机构将向中标人发出中标通知书。中标通知书对采购人和中标人具有同等法律效力。</w:t>
      </w:r>
    </w:p>
    <w:p w14:paraId="4EAEEFA2">
      <w:pPr>
        <w:pStyle w:val="17"/>
        <w:adjustRightInd w:val="0"/>
        <w:snapToGrid w:val="0"/>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八． 投标人义务</w:t>
      </w:r>
    </w:p>
    <w:p w14:paraId="0F0F0A5D">
      <w:pPr>
        <w:spacing w:line="440" w:lineRule="exact"/>
        <w:ind w:left="548" w:leftChars="261"/>
        <w:rPr>
          <w:rFonts w:ascii="宋体" w:hAnsi="宋体" w:cs="宋体"/>
          <w:color w:val="auto"/>
          <w:highlight w:val="none"/>
        </w:rPr>
      </w:pPr>
      <w:r>
        <w:rPr>
          <w:rFonts w:hint="eastAsia" w:ascii="宋体" w:hAnsi="宋体" w:cs="宋体"/>
          <w:color w:val="auto"/>
          <w:sz w:val="22"/>
          <w:szCs w:val="22"/>
          <w:highlight w:val="none"/>
        </w:rPr>
        <w:t>投标人应随时接受评标委员会的询标，解答包括有关的商务、技术等问题。评标结束，所有评标资料归档备查。</w:t>
      </w:r>
    </w:p>
    <w:p w14:paraId="2695C480">
      <w:pPr>
        <w:rPr>
          <w:color w:val="auto"/>
          <w:highlight w:val="none"/>
        </w:rPr>
      </w:pPr>
    </w:p>
    <w:p w14:paraId="534D9A8E">
      <w:pPr>
        <w:rPr>
          <w:color w:val="auto"/>
          <w:highlight w:val="none"/>
        </w:rPr>
      </w:pPr>
    </w:p>
    <w:sectPr>
      <w:headerReference r:id="rId11" w:type="default"/>
      <w:footerReference r:id="rId12" w:type="default"/>
      <w:pgSz w:w="11906" w:h="16838"/>
      <w:pgMar w:top="1134" w:right="1134" w:bottom="1134" w:left="1134"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Neue">
    <w:altName w:val="Arial"/>
    <w:panose1 w:val="00000000000000000000"/>
    <w:charset w:val="00"/>
    <w:family w:val="auto"/>
    <w:pitch w:val="default"/>
    <w:sig w:usb0="00000000" w:usb1="00000000" w:usb2="00000000" w:usb3="00000000" w:csb0="00000000" w:csb1="00000000"/>
  </w:font>
  <w:font w:name="DaxPro-CondRegular">
    <w:altName w:val="宋体"/>
    <w:panose1 w:val="00000000000000000000"/>
    <w:charset w:val="86"/>
    <w:family w:val="swiss"/>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68838">
    <w:pPr>
      <w:pStyle w:val="2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5AEFC">
    <w:pPr>
      <w:pStyle w:val="28"/>
      <w:framePr w:wrap="around" w:vAnchor="text" w:hAnchor="margin" w:xAlign="center" w:y="1"/>
      <w:rPr>
        <w:rStyle w:val="43"/>
      </w:rPr>
    </w:pPr>
    <w:r>
      <w:fldChar w:fldCharType="begin"/>
    </w:r>
    <w:r>
      <w:rPr>
        <w:rStyle w:val="43"/>
      </w:rPr>
      <w:instrText xml:space="preserve">PAGE  </w:instrText>
    </w:r>
    <w:r>
      <w:fldChar w:fldCharType="separate"/>
    </w:r>
    <w:r>
      <w:rPr>
        <w:rStyle w:val="43"/>
      </w:rPr>
      <w:t>23</w:t>
    </w:r>
    <w:r>
      <w:fldChar w:fldCharType="end"/>
    </w:r>
  </w:p>
  <w:p w14:paraId="7A84E4F9">
    <w:pPr>
      <w:pStyle w:val="2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C4B86">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3B2806">
                          <w:pPr>
                            <w:pStyle w:val="2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3B2806">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10008">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395E02">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5395E02">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24075">
    <w:pPr>
      <w:pStyle w:val="2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CEDBBD">
                          <w:pPr>
                            <w:pStyle w:val="28"/>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BCEDBBD">
                    <w:pPr>
                      <w:pStyle w:val="28"/>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BE739">
    <w:pPr>
      <w:pStyle w:val="28"/>
      <w:rPr>
        <w:rFonts w:ascii="宋体" w:hAnsi="宋体"/>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D2BAB8">
                          <w:pPr>
                            <w:pStyle w:val="28"/>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1D2BAB8">
                    <w:pPr>
                      <w:pStyle w:val="28"/>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17296">
    <w:pPr>
      <w:pStyle w:val="28"/>
      <w:rPr>
        <w:rFonts w:ascii="宋体" w:hAnsi="宋体"/>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1046F2">
                          <w:pPr>
                            <w:pStyle w:val="28"/>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D1046F2">
                    <w:pPr>
                      <w:pStyle w:val="28"/>
                    </w:pPr>
                    <w:r>
                      <w:fldChar w:fldCharType="begin"/>
                    </w:r>
                    <w:r>
                      <w:instrText xml:space="preserve"> PAGE  \* MERGEFORMAT </w:instrText>
                    </w:r>
                    <w:r>
                      <w:fldChar w:fldCharType="separate"/>
                    </w:r>
                    <w:r>
                      <w:t>50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B6BEF">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CE08E">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497C1">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45DF04"/>
    <w:multiLevelType w:val="singleLevel"/>
    <w:tmpl w:val="2245DF04"/>
    <w:lvl w:ilvl="0" w:tentative="0">
      <w:start w:val="8"/>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0OWY4MWMwMjQ5MTNlZTQ2Y2JhODE5OTYyMzEwNzcifQ=="/>
  </w:docVars>
  <w:rsids>
    <w:rsidRoot w:val="00172A27"/>
    <w:rsid w:val="00001165"/>
    <w:rsid w:val="00001E40"/>
    <w:rsid w:val="00002389"/>
    <w:rsid w:val="0000268F"/>
    <w:rsid w:val="00002BA3"/>
    <w:rsid w:val="00003159"/>
    <w:rsid w:val="000036E5"/>
    <w:rsid w:val="00003A5F"/>
    <w:rsid w:val="00004ADA"/>
    <w:rsid w:val="000051B1"/>
    <w:rsid w:val="00005A7A"/>
    <w:rsid w:val="000060CC"/>
    <w:rsid w:val="00006B27"/>
    <w:rsid w:val="00006E79"/>
    <w:rsid w:val="00006F21"/>
    <w:rsid w:val="00006F92"/>
    <w:rsid w:val="0000753A"/>
    <w:rsid w:val="000079E4"/>
    <w:rsid w:val="00007E4C"/>
    <w:rsid w:val="00007FBC"/>
    <w:rsid w:val="000107FE"/>
    <w:rsid w:val="00010DC1"/>
    <w:rsid w:val="00011854"/>
    <w:rsid w:val="0001207E"/>
    <w:rsid w:val="00012314"/>
    <w:rsid w:val="00013EA0"/>
    <w:rsid w:val="000142B3"/>
    <w:rsid w:val="00014596"/>
    <w:rsid w:val="00014742"/>
    <w:rsid w:val="000147A7"/>
    <w:rsid w:val="00015107"/>
    <w:rsid w:val="000152CF"/>
    <w:rsid w:val="00015923"/>
    <w:rsid w:val="0001651B"/>
    <w:rsid w:val="00017151"/>
    <w:rsid w:val="00017BA4"/>
    <w:rsid w:val="00020372"/>
    <w:rsid w:val="00020FE9"/>
    <w:rsid w:val="00021563"/>
    <w:rsid w:val="0002165E"/>
    <w:rsid w:val="0002168B"/>
    <w:rsid w:val="00021C20"/>
    <w:rsid w:val="000221E5"/>
    <w:rsid w:val="00022538"/>
    <w:rsid w:val="00022B42"/>
    <w:rsid w:val="00023D2B"/>
    <w:rsid w:val="00023F9D"/>
    <w:rsid w:val="000240E3"/>
    <w:rsid w:val="000245E9"/>
    <w:rsid w:val="00024E13"/>
    <w:rsid w:val="00025712"/>
    <w:rsid w:val="00025C90"/>
    <w:rsid w:val="00025DAC"/>
    <w:rsid w:val="000262A0"/>
    <w:rsid w:val="0002692B"/>
    <w:rsid w:val="00026D0F"/>
    <w:rsid w:val="00026EEE"/>
    <w:rsid w:val="000270F3"/>
    <w:rsid w:val="000272E6"/>
    <w:rsid w:val="00027467"/>
    <w:rsid w:val="00030130"/>
    <w:rsid w:val="00031782"/>
    <w:rsid w:val="00031FD8"/>
    <w:rsid w:val="00032042"/>
    <w:rsid w:val="000326AC"/>
    <w:rsid w:val="000327DC"/>
    <w:rsid w:val="00032819"/>
    <w:rsid w:val="000330F7"/>
    <w:rsid w:val="0003377F"/>
    <w:rsid w:val="0003425B"/>
    <w:rsid w:val="000343DF"/>
    <w:rsid w:val="000346A1"/>
    <w:rsid w:val="00034B1D"/>
    <w:rsid w:val="00034D91"/>
    <w:rsid w:val="00035454"/>
    <w:rsid w:val="00036008"/>
    <w:rsid w:val="00036219"/>
    <w:rsid w:val="000366F1"/>
    <w:rsid w:val="00036C10"/>
    <w:rsid w:val="00037E5F"/>
    <w:rsid w:val="00040C1C"/>
    <w:rsid w:val="00040E51"/>
    <w:rsid w:val="00041119"/>
    <w:rsid w:val="00042345"/>
    <w:rsid w:val="00042389"/>
    <w:rsid w:val="000428E3"/>
    <w:rsid w:val="00042E50"/>
    <w:rsid w:val="00042E80"/>
    <w:rsid w:val="000431B8"/>
    <w:rsid w:val="00043771"/>
    <w:rsid w:val="000453D7"/>
    <w:rsid w:val="00045869"/>
    <w:rsid w:val="000464EC"/>
    <w:rsid w:val="00046F83"/>
    <w:rsid w:val="0004727E"/>
    <w:rsid w:val="00047653"/>
    <w:rsid w:val="00050109"/>
    <w:rsid w:val="00051083"/>
    <w:rsid w:val="00051B24"/>
    <w:rsid w:val="0005219B"/>
    <w:rsid w:val="00052262"/>
    <w:rsid w:val="00052869"/>
    <w:rsid w:val="00052CE2"/>
    <w:rsid w:val="000536EA"/>
    <w:rsid w:val="00053C0F"/>
    <w:rsid w:val="00054949"/>
    <w:rsid w:val="00054CCC"/>
    <w:rsid w:val="0005503C"/>
    <w:rsid w:val="00055186"/>
    <w:rsid w:val="0005557C"/>
    <w:rsid w:val="0005630D"/>
    <w:rsid w:val="0005674F"/>
    <w:rsid w:val="00056768"/>
    <w:rsid w:val="00056948"/>
    <w:rsid w:val="00057465"/>
    <w:rsid w:val="0005747E"/>
    <w:rsid w:val="00060BCF"/>
    <w:rsid w:val="00060D2E"/>
    <w:rsid w:val="00060DF8"/>
    <w:rsid w:val="0006109B"/>
    <w:rsid w:val="000619A5"/>
    <w:rsid w:val="00061CEE"/>
    <w:rsid w:val="00062BA2"/>
    <w:rsid w:val="00062E4A"/>
    <w:rsid w:val="000632BB"/>
    <w:rsid w:val="0006332B"/>
    <w:rsid w:val="00063372"/>
    <w:rsid w:val="0006356E"/>
    <w:rsid w:val="000638F0"/>
    <w:rsid w:val="00063C1E"/>
    <w:rsid w:val="00064183"/>
    <w:rsid w:val="000643A5"/>
    <w:rsid w:val="00064DD8"/>
    <w:rsid w:val="000650FA"/>
    <w:rsid w:val="000657EA"/>
    <w:rsid w:val="0007050A"/>
    <w:rsid w:val="000714AC"/>
    <w:rsid w:val="00071832"/>
    <w:rsid w:val="00071A4F"/>
    <w:rsid w:val="00071EBC"/>
    <w:rsid w:val="00072105"/>
    <w:rsid w:val="000722DA"/>
    <w:rsid w:val="00073CF3"/>
    <w:rsid w:val="00073D5C"/>
    <w:rsid w:val="00073D60"/>
    <w:rsid w:val="0007428B"/>
    <w:rsid w:val="00075284"/>
    <w:rsid w:val="00077999"/>
    <w:rsid w:val="00081091"/>
    <w:rsid w:val="0008182E"/>
    <w:rsid w:val="0008194D"/>
    <w:rsid w:val="00081CC1"/>
    <w:rsid w:val="00082BF8"/>
    <w:rsid w:val="00083060"/>
    <w:rsid w:val="00083B1B"/>
    <w:rsid w:val="00084539"/>
    <w:rsid w:val="00085514"/>
    <w:rsid w:val="000871D4"/>
    <w:rsid w:val="0008775E"/>
    <w:rsid w:val="00092434"/>
    <w:rsid w:val="000929B3"/>
    <w:rsid w:val="000934F6"/>
    <w:rsid w:val="00093562"/>
    <w:rsid w:val="00093976"/>
    <w:rsid w:val="000939F1"/>
    <w:rsid w:val="00093A38"/>
    <w:rsid w:val="000941BD"/>
    <w:rsid w:val="00094486"/>
    <w:rsid w:val="000954C1"/>
    <w:rsid w:val="00095E04"/>
    <w:rsid w:val="00096F17"/>
    <w:rsid w:val="00097FC2"/>
    <w:rsid w:val="00097FF5"/>
    <w:rsid w:val="000A0578"/>
    <w:rsid w:val="000A0D54"/>
    <w:rsid w:val="000A1233"/>
    <w:rsid w:val="000A1862"/>
    <w:rsid w:val="000A18B1"/>
    <w:rsid w:val="000A1C5A"/>
    <w:rsid w:val="000A2C31"/>
    <w:rsid w:val="000A2CF3"/>
    <w:rsid w:val="000A3574"/>
    <w:rsid w:val="000A40E0"/>
    <w:rsid w:val="000A42E7"/>
    <w:rsid w:val="000A456E"/>
    <w:rsid w:val="000A45A1"/>
    <w:rsid w:val="000A4634"/>
    <w:rsid w:val="000A51FC"/>
    <w:rsid w:val="000A54A1"/>
    <w:rsid w:val="000A5B6D"/>
    <w:rsid w:val="000A651A"/>
    <w:rsid w:val="000A749B"/>
    <w:rsid w:val="000A77AA"/>
    <w:rsid w:val="000A7880"/>
    <w:rsid w:val="000A7971"/>
    <w:rsid w:val="000A7E8A"/>
    <w:rsid w:val="000B037B"/>
    <w:rsid w:val="000B0465"/>
    <w:rsid w:val="000B0D00"/>
    <w:rsid w:val="000B1492"/>
    <w:rsid w:val="000B154C"/>
    <w:rsid w:val="000B26B7"/>
    <w:rsid w:val="000B28F6"/>
    <w:rsid w:val="000B2A50"/>
    <w:rsid w:val="000B2BA3"/>
    <w:rsid w:val="000B42F1"/>
    <w:rsid w:val="000B4414"/>
    <w:rsid w:val="000B512D"/>
    <w:rsid w:val="000B517D"/>
    <w:rsid w:val="000B55D7"/>
    <w:rsid w:val="000B598D"/>
    <w:rsid w:val="000B66AF"/>
    <w:rsid w:val="000B73C5"/>
    <w:rsid w:val="000B7C66"/>
    <w:rsid w:val="000C01C5"/>
    <w:rsid w:val="000C16CF"/>
    <w:rsid w:val="000C2735"/>
    <w:rsid w:val="000C2AF2"/>
    <w:rsid w:val="000C2C51"/>
    <w:rsid w:val="000C2C6F"/>
    <w:rsid w:val="000C3986"/>
    <w:rsid w:val="000C3EEC"/>
    <w:rsid w:val="000C425F"/>
    <w:rsid w:val="000C4408"/>
    <w:rsid w:val="000C5A19"/>
    <w:rsid w:val="000C5F95"/>
    <w:rsid w:val="000C613C"/>
    <w:rsid w:val="000C68A2"/>
    <w:rsid w:val="000C6B42"/>
    <w:rsid w:val="000C6D06"/>
    <w:rsid w:val="000C7201"/>
    <w:rsid w:val="000C771F"/>
    <w:rsid w:val="000C7777"/>
    <w:rsid w:val="000C7A38"/>
    <w:rsid w:val="000C7C00"/>
    <w:rsid w:val="000C7C3A"/>
    <w:rsid w:val="000D05E6"/>
    <w:rsid w:val="000D0869"/>
    <w:rsid w:val="000D0BA1"/>
    <w:rsid w:val="000D18DD"/>
    <w:rsid w:val="000D1975"/>
    <w:rsid w:val="000D1AE1"/>
    <w:rsid w:val="000D24C5"/>
    <w:rsid w:val="000D26D8"/>
    <w:rsid w:val="000D2B26"/>
    <w:rsid w:val="000D3CE1"/>
    <w:rsid w:val="000D4801"/>
    <w:rsid w:val="000D4BCE"/>
    <w:rsid w:val="000D5A14"/>
    <w:rsid w:val="000D6659"/>
    <w:rsid w:val="000D735C"/>
    <w:rsid w:val="000D7B83"/>
    <w:rsid w:val="000E0729"/>
    <w:rsid w:val="000E0E4F"/>
    <w:rsid w:val="000E1732"/>
    <w:rsid w:val="000E1D03"/>
    <w:rsid w:val="000E2DF9"/>
    <w:rsid w:val="000E35AA"/>
    <w:rsid w:val="000E35E5"/>
    <w:rsid w:val="000E4271"/>
    <w:rsid w:val="000E4DA7"/>
    <w:rsid w:val="000E4E87"/>
    <w:rsid w:val="000E5198"/>
    <w:rsid w:val="000E62AF"/>
    <w:rsid w:val="000E66C8"/>
    <w:rsid w:val="000E6A41"/>
    <w:rsid w:val="000E7A07"/>
    <w:rsid w:val="000E7F5B"/>
    <w:rsid w:val="000F0031"/>
    <w:rsid w:val="000F050E"/>
    <w:rsid w:val="000F0C81"/>
    <w:rsid w:val="000F15AA"/>
    <w:rsid w:val="000F1F36"/>
    <w:rsid w:val="000F2B07"/>
    <w:rsid w:val="000F2F3F"/>
    <w:rsid w:val="000F307A"/>
    <w:rsid w:val="000F378A"/>
    <w:rsid w:val="000F3E0D"/>
    <w:rsid w:val="000F3FF5"/>
    <w:rsid w:val="000F4153"/>
    <w:rsid w:val="000F4E1E"/>
    <w:rsid w:val="000F4E6E"/>
    <w:rsid w:val="000F504E"/>
    <w:rsid w:val="000F56E0"/>
    <w:rsid w:val="000F5719"/>
    <w:rsid w:val="000F57F8"/>
    <w:rsid w:val="000F74BD"/>
    <w:rsid w:val="001004FF"/>
    <w:rsid w:val="00100DEB"/>
    <w:rsid w:val="00101CDB"/>
    <w:rsid w:val="0010216A"/>
    <w:rsid w:val="001022A9"/>
    <w:rsid w:val="00102C55"/>
    <w:rsid w:val="001032D0"/>
    <w:rsid w:val="001047D2"/>
    <w:rsid w:val="00104EC6"/>
    <w:rsid w:val="00105F69"/>
    <w:rsid w:val="00105FC5"/>
    <w:rsid w:val="001063F3"/>
    <w:rsid w:val="00107D2F"/>
    <w:rsid w:val="00110686"/>
    <w:rsid w:val="001108F6"/>
    <w:rsid w:val="00110B5B"/>
    <w:rsid w:val="00110D39"/>
    <w:rsid w:val="00110D43"/>
    <w:rsid w:val="00110E67"/>
    <w:rsid w:val="00112097"/>
    <w:rsid w:val="001120B1"/>
    <w:rsid w:val="0011219E"/>
    <w:rsid w:val="00112333"/>
    <w:rsid w:val="00112873"/>
    <w:rsid w:val="00112993"/>
    <w:rsid w:val="001133B8"/>
    <w:rsid w:val="001136C8"/>
    <w:rsid w:val="00113881"/>
    <w:rsid w:val="001138AC"/>
    <w:rsid w:val="00113B10"/>
    <w:rsid w:val="00113E81"/>
    <w:rsid w:val="0011400E"/>
    <w:rsid w:val="001142E3"/>
    <w:rsid w:val="00114472"/>
    <w:rsid w:val="00114CF1"/>
    <w:rsid w:val="00114DE5"/>
    <w:rsid w:val="00114DFC"/>
    <w:rsid w:val="001150D9"/>
    <w:rsid w:val="00115450"/>
    <w:rsid w:val="00116A19"/>
    <w:rsid w:val="00116EC7"/>
    <w:rsid w:val="00117802"/>
    <w:rsid w:val="0011790E"/>
    <w:rsid w:val="001202A1"/>
    <w:rsid w:val="00120371"/>
    <w:rsid w:val="001205F7"/>
    <w:rsid w:val="00120845"/>
    <w:rsid w:val="00121290"/>
    <w:rsid w:val="00121C86"/>
    <w:rsid w:val="00121ED9"/>
    <w:rsid w:val="001221F2"/>
    <w:rsid w:val="00122B56"/>
    <w:rsid w:val="00122C35"/>
    <w:rsid w:val="00123891"/>
    <w:rsid w:val="00123979"/>
    <w:rsid w:val="00123DC7"/>
    <w:rsid w:val="00125A48"/>
    <w:rsid w:val="00125D8D"/>
    <w:rsid w:val="001261DC"/>
    <w:rsid w:val="001267D2"/>
    <w:rsid w:val="00126AFA"/>
    <w:rsid w:val="00126F2B"/>
    <w:rsid w:val="00126F64"/>
    <w:rsid w:val="00127EA6"/>
    <w:rsid w:val="00130006"/>
    <w:rsid w:val="001309CB"/>
    <w:rsid w:val="00131471"/>
    <w:rsid w:val="001314EF"/>
    <w:rsid w:val="00131712"/>
    <w:rsid w:val="001317F0"/>
    <w:rsid w:val="00131FC9"/>
    <w:rsid w:val="0013257E"/>
    <w:rsid w:val="0013263C"/>
    <w:rsid w:val="001327CF"/>
    <w:rsid w:val="00132930"/>
    <w:rsid w:val="00132F72"/>
    <w:rsid w:val="00133A53"/>
    <w:rsid w:val="00134F9F"/>
    <w:rsid w:val="00135366"/>
    <w:rsid w:val="001354FB"/>
    <w:rsid w:val="0013639D"/>
    <w:rsid w:val="001366A1"/>
    <w:rsid w:val="001374E7"/>
    <w:rsid w:val="00137E43"/>
    <w:rsid w:val="00140410"/>
    <w:rsid w:val="00142030"/>
    <w:rsid w:val="0014215E"/>
    <w:rsid w:val="001421E5"/>
    <w:rsid w:val="00142D98"/>
    <w:rsid w:val="001430F6"/>
    <w:rsid w:val="001439D7"/>
    <w:rsid w:val="00145885"/>
    <w:rsid w:val="00146014"/>
    <w:rsid w:val="0014730B"/>
    <w:rsid w:val="001515CD"/>
    <w:rsid w:val="00151EE0"/>
    <w:rsid w:val="00152989"/>
    <w:rsid w:val="00153645"/>
    <w:rsid w:val="00154922"/>
    <w:rsid w:val="00154BD7"/>
    <w:rsid w:val="00154D82"/>
    <w:rsid w:val="00155600"/>
    <w:rsid w:val="00155A4F"/>
    <w:rsid w:val="001560D5"/>
    <w:rsid w:val="00156719"/>
    <w:rsid w:val="00156812"/>
    <w:rsid w:val="0015706A"/>
    <w:rsid w:val="00157B83"/>
    <w:rsid w:val="00160ABF"/>
    <w:rsid w:val="00160FAF"/>
    <w:rsid w:val="001614D6"/>
    <w:rsid w:val="001616EA"/>
    <w:rsid w:val="00161B88"/>
    <w:rsid w:val="00161D24"/>
    <w:rsid w:val="0016225B"/>
    <w:rsid w:val="00162287"/>
    <w:rsid w:val="00162850"/>
    <w:rsid w:val="00163663"/>
    <w:rsid w:val="00163C6A"/>
    <w:rsid w:val="00163D5A"/>
    <w:rsid w:val="00163E41"/>
    <w:rsid w:val="00164375"/>
    <w:rsid w:val="001649C8"/>
    <w:rsid w:val="00164C30"/>
    <w:rsid w:val="00164C3B"/>
    <w:rsid w:val="00164FE5"/>
    <w:rsid w:val="00165ACB"/>
    <w:rsid w:val="00165FA6"/>
    <w:rsid w:val="0016641D"/>
    <w:rsid w:val="00166D82"/>
    <w:rsid w:val="00166DC6"/>
    <w:rsid w:val="0016743A"/>
    <w:rsid w:val="00170979"/>
    <w:rsid w:val="00170B10"/>
    <w:rsid w:val="00170C06"/>
    <w:rsid w:val="00170CCF"/>
    <w:rsid w:val="00170EB8"/>
    <w:rsid w:val="00172208"/>
    <w:rsid w:val="00172998"/>
    <w:rsid w:val="001729FD"/>
    <w:rsid w:val="00172A27"/>
    <w:rsid w:val="00172B18"/>
    <w:rsid w:val="0017400D"/>
    <w:rsid w:val="0017425D"/>
    <w:rsid w:val="00174A51"/>
    <w:rsid w:val="00175D76"/>
    <w:rsid w:val="00175FFC"/>
    <w:rsid w:val="001766C6"/>
    <w:rsid w:val="00176FC2"/>
    <w:rsid w:val="00181DF8"/>
    <w:rsid w:val="00183850"/>
    <w:rsid w:val="00183CAA"/>
    <w:rsid w:val="001840CB"/>
    <w:rsid w:val="0018413D"/>
    <w:rsid w:val="0018478A"/>
    <w:rsid w:val="001848C1"/>
    <w:rsid w:val="00185539"/>
    <w:rsid w:val="00185BC8"/>
    <w:rsid w:val="00187129"/>
    <w:rsid w:val="00187342"/>
    <w:rsid w:val="00187D72"/>
    <w:rsid w:val="00187EDB"/>
    <w:rsid w:val="00187F98"/>
    <w:rsid w:val="001908E7"/>
    <w:rsid w:val="00190A92"/>
    <w:rsid w:val="00191021"/>
    <w:rsid w:val="00191476"/>
    <w:rsid w:val="00192B3F"/>
    <w:rsid w:val="0019389D"/>
    <w:rsid w:val="0019478A"/>
    <w:rsid w:val="00194A37"/>
    <w:rsid w:val="001952C2"/>
    <w:rsid w:val="00195F04"/>
    <w:rsid w:val="00196262"/>
    <w:rsid w:val="001963B1"/>
    <w:rsid w:val="0019670B"/>
    <w:rsid w:val="00196B76"/>
    <w:rsid w:val="0019704E"/>
    <w:rsid w:val="00197316"/>
    <w:rsid w:val="001A03DD"/>
    <w:rsid w:val="001A11B2"/>
    <w:rsid w:val="001A12E1"/>
    <w:rsid w:val="001A14BE"/>
    <w:rsid w:val="001A1582"/>
    <w:rsid w:val="001A17B0"/>
    <w:rsid w:val="001A25A2"/>
    <w:rsid w:val="001A37C8"/>
    <w:rsid w:val="001A3895"/>
    <w:rsid w:val="001A3BDD"/>
    <w:rsid w:val="001A48FC"/>
    <w:rsid w:val="001A4BCC"/>
    <w:rsid w:val="001A4BDA"/>
    <w:rsid w:val="001A5333"/>
    <w:rsid w:val="001A5D07"/>
    <w:rsid w:val="001A60CF"/>
    <w:rsid w:val="001A647A"/>
    <w:rsid w:val="001A7084"/>
    <w:rsid w:val="001A786A"/>
    <w:rsid w:val="001A7FA4"/>
    <w:rsid w:val="001B069A"/>
    <w:rsid w:val="001B09F7"/>
    <w:rsid w:val="001B1392"/>
    <w:rsid w:val="001B31FC"/>
    <w:rsid w:val="001B3CC8"/>
    <w:rsid w:val="001B3DB1"/>
    <w:rsid w:val="001B40EC"/>
    <w:rsid w:val="001B4145"/>
    <w:rsid w:val="001B4A6A"/>
    <w:rsid w:val="001B4F8A"/>
    <w:rsid w:val="001B5D48"/>
    <w:rsid w:val="001B5FB3"/>
    <w:rsid w:val="001B6389"/>
    <w:rsid w:val="001B6AD9"/>
    <w:rsid w:val="001B6D62"/>
    <w:rsid w:val="001C1846"/>
    <w:rsid w:val="001C1CFE"/>
    <w:rsid w:val="001C1E6E"/>
    <w:rsid w:val="001C24E5"/>
    <w:rsid w:val="001C2751"/>
    <w:rsid w:val="001C32C9"/>
    <w:rsid w:val="001C42AD"/>
    <w:rsid w:val="001C44B8"/>
    <w:rsid w:val="001C473C"/>
    <w:rsid w:val="001C4C62"/>
    <w:rsid w:val="001C51C1"/>
    <w:rsid w:val="001C5481"/>
    <w:rsid w:val="001C5518"/>
    <w:rsid w:val="001C5E68"/>
    <w:rsid w:val="001C6DAC"/>
    <w:rsid w:val="001C7D87"/>
    <w:rsid w:val="001D0EB1"/>
    <w:rsid w:val="001D1277"/>
    <w:rsid w:val="001D160F"/>
    <w:rsid w:val="001D1B19"/>
    <w:rsid w:val="001D268A"/>
    <w:rsid w:val="001D29DD"/>
    <w:rsid w:val="001D2BD2"/>
    <w:rsid w:val="001D2DAF"/>
    <w:rsid w:val="001D3156"/>
    <w:rsid w:val="001D3278"/>
    <w:rsid w:val="001D3C45"/>
    <w:rsid w:val="001D416B"/>
    <w:rsid w:val="001D5E21"/>
    <w:rsid w:val="001D5FBE"/>
    <w:rsid w:val="001D67E2"/>
    <w:rsid w:val="001D6B5C"/>
    <w:rsid w:val="001D6C82"/>
    <w:rsid w:val="001D751F"/>
    <w:rsid w:val="001E0616"/>
    <w:rsid w:val="001E0942"/>
    <w:rsid w:val="001E09BB"/>
    <w:rsid w:val="001E0AF8"/>
    <w:rsid w:val="001E0FB0"/>
    <w:rsid w:val="001E1B49"/>
    <w:rsid w:val="001E2A06"/>
    <w:rsid w:val="001E3222"/>
    <w:rsid w:val="001E41CF"/>
    <w:rsid w:val="001E4551"/>
    <w:rsid w:val="001E493C"/>
    <w:rsid w:val="001E5B00"/>
    <w:rsid w:val="001E5B81"/>
    <w:rsid w:val="001E647E"/>
    <w:rsid w:val="001E74DD"/>
    <w:rsid w:val="001F0218"/>
    <w:rsid w:val="001F0FA1"/>
    <w:rsid w:val="001F100F"/>
    <w:rsid w:val="001F11D1"/>
    <w:rsid w:val="001F19E6"/>
    <w:rsid w:val="001F1A66"/>
    <w:rsid w:val="001F1F4E"/>
    <w:rsid w:val="001F2C4E"/>
    <w:rsid w:val="001F36B6"/>
    <w:rsid w:val="001F41C1"/>
    <w:rsid w:val="001F4884"/>
    <w:rsid w:val="001F5456"/>
    <w:rsid w:val="001F5D59"/>
    <w:rsid w:val="001F63E1"/>
    <w:rsid w:val="001F6E65"/>
    <w:rsid w:val="001F7B90"/>
    <w:rsid w:val="00200B30"/>
    <w:rsid w:val="00200BCB"/>
    <w:rsid w:val="00200DC4"/>
    <w:rsid w:val="00200E3B"/>
    <w:rsid w:val="002028D1"/>
    <w:rsid w:val="002030B4"/>
    <w:rsid w:val="002034C1"/>
    <w:rsid w:val="002038A2"/>
    <w:rsid w:val="00203ADD"/>
    <w:rsid w:val="00203FEE"/>
    <w:rsid w:val="002045BE"/>
    <w:rsid w:val="00204699"/>
    <w:rsid w:val="002047E5"/>
    <w:rsid w:val="00205C5E"/>
    <w:rsid w:val="00205DD2"/>
    <w:rsid w:val="0020678D"/>
    <w:rsid w:val="00207916"/>
    <w:rsid w:val="0021000F"/>
    <w:rsid w:val="00210303"/>
    <w:rsid w:val="002103A6"/>
    <w:rsid w:val="002107A8"/>
    <w:rsid w:val="00210C6F"/>
    <w:rsid w:val="00211592"/>
    <w:rsid w:val="002115A0"/>
    <w:rsid w:val="00211E6E"/>
    <w:rsid w:val="00211EDA"/>
    <w:rsid w:val="00212C77"/>
    <w:rsid w:val="002131EC"/>
    <w:rsid w:val="00213223"/>
    <w:rsid w:val="002136A2"/>
    <w:rsid w:val="0021397F"/>
    <w:rsid w:val="00213A0A"/>
    <w:rsid w:val="00214F32"/>
    <w:rsid w:val="0021526D"/>
    <w:rsid w:val="00215D26"/>
    <w:rsid w:val="00216D91"/>
    <w:rsid w:val="00216EB4"/>
    <w:rsid w:val="00217027"/>
    <w:rsid w:val="00217243"/>
    <w:rsid w:val="002173B0"/>
    <w:rsid w:val="002174B1"/>
    <w:rsid w:val="00217A74"/>
    <w:rsid w:val="00217F59"/>
    <w:rsid w:val="00221951"/>
    <w:rsid w:val="00221987"/>
    <w:rsid w:val="00221B13"/>
    <w:rsid w:val="00221CBC"/>
    <w:rsid w:val="00222619"/>
    <w:rsid w:val="00222FD6"/>
    <w:rsid w:val="00223345"/>
    <w:rsid w:val="002239CB"/>
    <w:rsid w:val="00223FAB"/>
    <w:rsid w:val="0022481E"/>
    <w:rsid w:val="002248D2"/>
    <w:rsid w:val="00224BFE"/>
    <w:rsid w:val="0022585E"/>
    <w:rsid w:val="002259C0"/>
    <w:rsid w:val="00225D80"/>
    <w:rsid w:val="0022639F"/>
    <w:rsid w:val="00226C05"/>
    <w:rsid w:val="0023038F"/>
    <w:rsid w:val="0023079C"/>
    <w:rsid w:val="002309C1"/>
    <w:rsid w:val="002315E9"/>
    <w:rsid w:val="00231769"/>
    <w:rsid w:val="00231D7B"/>
    <w:rsid w:val="00232BB2"/>
    <w:rsid w:val="00232E11"/>
    <w:rsid w:val="00233D2A"/>
    <w:rsid w:val="00234021"/>
    <w:rsid w:val="002343E4"/>
    <w:rsid w:val="002346E7"/>
    <w:rsid w:val="00235A58"/>
    <w:rsid w:val="00235B36"/>
    <w:rsid w:val="00235BAD"/>
    <w:rsid w:val="002363DF"/>
    <w:rsid w:val="002372E7"/>
    <w:rsid w:val="00237A2E"/>
    <w:rsid w:val="00240F51"/>
    <w:rsid w:val="00241034"/>
    <w:rsid w:val="002414F2"/>
    <w:rsid w:val="00241756"/>
    <w:rsid w:val="00242D45"/>
    <w:rsid w:val="002433F3"/>
    <w:rsid w:val="00243C23"/>
    <w:rsid w:val="00244112"/>
    <w:rsid w:val="00244810"/>
    <w:rsid w:val="0024487A"/>
    <w:rsid w:val="00244B5B"/>
    <w:rsid w:val="00244EC3"/>
    <w:rsid w:val="00244EF4"/>
    <w:rsid w:val="0024597B"/>
    <w:rsid w:val="00245AE1"/>
    <w:rsid w:val="00245E50"/>
    <w:rsid w:val="0024604C"/>
    <w:rsid w:val="00246689"/>
    <w:rsid w:val="0024679C"/>
    <w:rsid w:val="00250294"/>
    <w:rsid w:val="002508D1"/>
    <w:rsid w:val="00250A00"/>
    <w:rsid w:val="00250DD5"/>
    <w:rsid w:val="00251506"/>
    <w:rsid w:val="00251E82"/>
    <w:rsid w:val="00251ECF"/>
    <w:rsid w:val="00254859"/>
    <w:rsid w:val="00254BE6"/>
    <w:rsid w:val="00255609"/>
    <w:rsid w:val="0025578D"/>
    <w:rsid w:val="00255D50"/>
    <w:rsid w:val="002561B3"/>
    <w:rsid w:val="00257BAB"/>
    <w:rsid w:val="00257BD5"/>
    <w:rsid w:val="002601D4"/>
    <w:rsid w:val="00261139"/>
    <w:rsid w:val="00262656"/>
    <w:rsid w:val="002629D4"/>
    <w:rsid w:val="00262EB9"/>
    <w:rsid w:val="00263283"/>
    <w:rsid w:val="00263771"/>
    <w:rsid w:val="00263C0B"/>
    <w:rsid w:val="002642F0"/>
    <w:rsid w:val="002647C2"/>
    <w:rsid w:val="00264950"/>
    <w:rsid w:val="00264B27"/>
    <w:rsid w:val="00266388"/>
    <w:rsid w:val="00266631"/>
    <w:rsid w:val="0026669A"/>
    <w:rsid w:val="00266A3C"/>
    <w:rsid w:val="00266C22"/>
    <w:rsid w:val="00266DE7"/>
    <w:rsid w:val="002670FE"/>
    <w:rsid w:val="00267B03"/>
    <w:rsid w:val="00270493"/>
    <w:rsid w:val="0027082C"/>
    <w:rsid w:val="00271109"/>
    <w:rsid w:val="002711C8"/>
    <w:rsid w:val="00271A24"/>
    <w:rsid w:val="00271CF3"/>
    <w:rsid w:val="00272478"/>
    <w:rsid w:val="00272F1B"/>
    <w:rsid w:val="0027358F"/>
    <w:rsid w:val="0027367B"/>
    <w:rsid w:val="002737AB"/>
    <w:rsid w:val="0027413E"/>
    <w:rsid w:val="00274945"/>
    <w:rsid w:val="00275459"/>
    <w:rsid w:val="00275798"/>
    <w:rsid w:val="00275B27"/>
    <w:rsid w:val="00275CFF"/>
    <w:rsid w:val="002763F8"/>
    <w:rsid w:val="002768C0"/>
    <w:rsid w:val="00276983"/>
    <w:rsid w:val="00276E7B"/>
    <w:rsid w:val="00277BC4"/>
    <w:rsid w:val="00277DAC"/>
    <w:rsid w:val="0028004F"/>
    <w:rsid w:val="002800DF"/>
    <w:rsid w:val="0028085C"/>
    <w:rsid w:val="00280BE3"/>
    <w:rsid w:val="00280FB7"/>
    <w:rsid w:val="002821BE"/>
    <w:rsid w:val="00283A35"/>
    <w:rsid w:val="00283CBF"/>
    <w:rsid w:val="002843C2"/>
    <w:rsid w:val="0028497C"/>
    <w:rsid w:val="00286517"/>
    <w:rsid w:val="00286AC3"/>
    <w:rsid w:val="00286D39"/>
    <w:rsid w:val="002907BA"/>
    <w:rsid w:val="00290D43"/>
    <w:rsid w:val="00290D77"/>
    <w:rsid w:val="002911DE"/>
    <w:rsid w:val="00291357"/>
    <w:rsid w:val="002913F8"/>
    <w:rsid w:val="002921A1"/>
    <w:rsid w:val="002922AE"/>
    <w:rsid w:val="00292CD2"/>
    <w:rsid w:val="00293CEC"/>
    <w:rsid w:val="002947AD"/>
    <w:rsid w:val="00294BD0"/>
    <w:rsid w:val="00294DBC"/>
    <w:rsid w:val="0029578E"/>
    <w:rsid w:val="00295CF6"/>
    <w:rsid w:val="00295F04"/>
    <w:rsid w:val="002960E5"/>
    <w:rsid w:val="00296422"/>
    <w:rsid w:val="00297970"/>
    <w:rsid w:val="002979A8"/>
    <w:rsid w:val="002A00FA"/>
    <w:rsid w:val="002A19B1"/>
    <w:rsid w:val="002A1D83"/>
    <w:rsid w:val="002A2330"/>
    <w:rsid w:val="002A29FD"/>
    <w:rsid w:val="002A2D53"/>
    <w:rsid w:val="002A3060"/>
    <w:rsid w:val="002A32FD"/>
    <w:rsid w:val="002A36EE"/>
    <w:rsid w:val="002A3A37"/>
    <w:rsid w:val="002A3B69"/>
    <w:rsid w:val="002A3E24"/>
    <w:rsid w:val="002A4068"/>
    <w:rsid w:val="002A4113"/>
    <w:rsid w:val="002A48F6"/>
    <w:rsid w:val="002A4EBB"/>
    <w:rsid w:val="002A53FA"/>
    <w:rsid w:val="002A5E21"/>
    <w:rsid w:val="002A611C"/>
    <w:rsid w:val="002A6540"/>
    <w:rsid w:val="002A7273"/>
    <w:rsid w:val="002A794F"/>
    <w:rsid w:val="002B025A"/>
    <w:rsid w:val="002B0543"/>
    <w:rsid w:val="002B06DE"/>
    <w:rsid w:val="002B0844"/>
    <w:rsid w:val="002B0B64"/>
    <w:rsid w:val="002B1219"/>
    <w:rsid w:val="002B1580"/>
    <w:rsid w:val="002B17F0"/>
    <w:rsid w:val="002B1DEB"/>
    <w:rsid w:val="002B245E"/>
    <w:rsid w:val="002B28FF"/>
    <w:rsid w:val="002B33B9"/>
    <w:rsid w:val="002B4028"/>
    <w:rsid w:val="002B40F6"/>
    <w:rsid w:val="002B4713"/>
    <w:rsid w:val="002B522A"/>
    <w:rsid w:val="002B5330"/>
    <w:rsid w:val="002B5A48"/>
    <w:rsid w:val="002B5A7D"/>
    <w:rsid w:val="002B6333"/>
    <w:rsid w:val="002B68CE"/>
    <w:rsid w:val="002B6CE9"/>
    <w:rsid w:val="002B6FBA"/>
    <w:rsid w:val="002B796A"/>
    <w:rsid w:val="002B7F5D"/>
    <w:rsid w:val="002C00CC"/>
    <w:rsid w:val="002C06C6"/>
    <w:rsid w:val="002C109C"/>
    <w:rsid w:val="002C13FD"/>
    <w:rsid w:val="002C1B47"/>
    <w:rsid w:val="002C22AF"/>
    <w:rsid w:val="002C2353"/>
    <w:rsid w:val="002C2D2B"/>
    <w:rsid w:val="002C2DB8"/>
    <w:rsid w:val="002C33C6"/>
    <w:rsid w:val="002C376F"/>
    <w:rsid w:val="002C3966"/>
    <w:rsid w:val="002C40C7"/>
    <w:rsid w:val="002C4806"/>
    <w:rsid w:val="002C49D1"/>
    <w:rsid w:val="002C4F67"/>
    <w:rsid w:val="002C5182"/>
    <w:rsid w:val="002C5DE8"/>
    <w:rsid w:val="002C77EA"/>
    <w:rsid w:val="002C796F"/>
    <w:rsid w:val="002D0042"/>
    <w:rsid w:val="002D00B9"/>
    <w:rsid w:val="002D13F1"/>
    <w:rsid w:val="002D1E01"/>
    <w:rsid w:val="002D1E3C"/>
    <w:rsid w:val="002D21C5"/>
    <w:rsid w:val="002D287B"/>
    <w:rsid w:val="002D2F7C"/>
    <w:rsid w:val="002D34D1"/>
    <w:rsid w:val="002D37F1"/>
    <w:rsid w:val="002D39AF"/>
    <w:rsid w:val="002D4DF7"/>
    <w:rsid w:val="002D6623"/>
    <w:rsid w:val="002D676D"/>
    <w:rsid w:val="002D6B3A"/>
    <w:rsid w:val="002D7072"/>
    <w:rsid w:val="002D7CA4"/>
    <w:rsid w:val="002D7F97"/>
    <w:rsid w:val="002E03B8"/>
    <w:rsid w:val="002E06A8"/>
    <w:rsid w:val="002E0CA9"/>
    <w:rsid w:val="002E0EA3"/>
    <w:rsid w:val="002E134D"/>
    <w:rsid w:val="002E13BE"/>
    <w:rsid w:val="002E20CD"/>
    <w:rsid w:val="002E2496"/>
    <w:rsid w:val="002E2BDB"/>
    <w:rsid w:val="002E4475"/>
    <w:rsid w:val="002E4865"/>
    <w:rsid w:val="002E4943"/>
    <w:rsid w:val="002E4B40"/>
    <w:rsid w:val="002E5394"/>
    <w:rsid w:val="002F166A"/>
    <w:rsid w:val="002F1DBD"/>
    <w:rsid w:val="002F20FA"/>
    <w:rsid w:val="002F2243"/>
    <w:rsid w:val="002F2404"/>
    <w:rsid w:val="002F24F5"/>
    <w:rsid w:val="002F2575"/>
    <w:rsid w:val="002F28DB"/>
    <w:rsid w:val="002F2C07"/>
    <w:rsid w:val="002F325C"/>
    <w:rsid w:val="002F4C45"/>
    <w:rsid w:val="002F553A"/>
    <w:rsid w:val="002F5A22"/>
    <w:rsid w:val="002F7207"/>
    <w:rsid w:val="002F7C5D"/>
    <w:rsid w:val="002F7DCC"/>
    <w:rsid w:val="00300233"/>
    <w:rsid w:val="003003FF"/>
    <w:rsid w:val="00300831"/>
    <w:rsid w:val="00300D5B"/>
    <w:rsid w:val="00301CA2"/>
    <w:rsid w:val="00301D7D"/>
    <w:rsid w:val="003028D8"/>
    <w:rsid w:val="00302D1F"/>
    <w:rsid w:val="00302DD9"/>
    <w:rsid w:val="00302F2D"/>
    <w:rsid w:val="003034C0"/>
    <w:rsid w:val="00303A2D"/>
    <w:rsid w:val="00304080"/>
    <w:rsid w:val="003050B6"/>
    <w:rsid w:val="00305277"/>
    <w:rsid w:val="00305567"/>
    <w:rsid w:val="003060A7"/>
    <w:rsid w:val="003073F5"/>
    <w:rsid w:val="003101D3"/>
    <w:rsid w:val="003104E4"/>
    <w:rsid w:val="003107BD"/>
    <w:rsid w:val="00311365"/>
    <w:rsid w:val="00311AB3"/>
    <w:rsid w:val="00311D5D"/>
    <w:rsid w:val="003121EA"/>
    <w:rsid w:val="0031263E"/>
    <w:rsid w:val="00312AC3"/>
    <w:rsid w:val="00312DE0"/>
    <w:rsid w:val="00313231"/>
    <w:rsid w:val="00315BB7"/>
    <w:rsid w:val="00317F64"/>
    <w:rsid w:val="00320184"/>
    <w:rsid w:val="00320B64"/>
    <w:rsid w:val="00320D28"/>
    <w:rsid w:val="00321361"/>
    <w:rsid w:val="00321622"/>
    <w:rsid w:val="00321881"/>
    <w:rsid w:val="00321D3C"/>
    <w:rsid w:val="00321E6E"/>
    <w:rsid w:val="00322044"/>
    <w:rsid w:val="003225FA"/>
    <w:rsid w:val="0032283D"/>
    <w:rsid w:val="00322C95"/>
    <w:rsid w:val="0032384A"/>
    <w:rsid w:val="00323A98"/>
    <w:rsid w:val="00323C84"/>
    <w:rsid w:val="00323F15"/>
    <w:rsid w:val="00324212"/>
    <w:rsid w:val="003247AB"/>
    <w:rsid w:val="003248F6"/>
    <w:rsid w:val="0032513D"/>
    <w:rsid w:val="003253A3"/>
    <w:rsid w:val="00325C96"/>
    <w:rsid w:val="00326160"/>
    <w:rsid w:val="0032642C"/>
    <w:rsid w:val="003268EF"/>
    <w:rsid w:val="00326B0F"/>
    <w:rsid w:val="00327362"/>
    <w:rsid w:val="0032780B"/>
    <w:rsid w:val="0033041E"/>
    <w:rsid w:val="00330612"/>
    <w:rsid w:val="003319AD"/>
    <w:rsid w:val="00334032"/>
    <w:rsid w:val="00334558"/>
    <w:rsid w:val="00334889"/>
    <w:rsid w:val="00335E37"/>
    <w:rsid w:val="00336044"/>
    <w:rsid w:val="00336333"/>
    <w:rsid w:val="003363F0"/>
    <w:rsid w:val="003368A0"/>
    <w:rsid w:val="003372F0"/>
    <w:rsid w:val="00340422"/>
    <w:rsid w:val="0034058A"/>
    <w:rsid w:val="003408AE"/>
    <w:rsid w:val="0034393B"/>
    <w:rsid w:val="00343E99"/>
    <w:rsid w:val="0034407D"/>
    <w:rsid w:val="0034479F"/>
    <w:rsid w:val="003447FE"/>
    <w:rsid w:val="00344A60"/>
    <w:rsid w:val="00344A9A"/>
    <w:rsid w:val="00344C98"/>
    <w:rsid w:val="003450E8"/>
    <w:rsid w:val="00345A9A"/>
    <w:rsid w:val="0034646D"/>
    <w:rsid w:val="0034732C"/>
    <w:rsid w:val="00347DD8"/>
    <w:rsid w:val="00350086"/>
    <w:rsid w:val="00350120"/>
    <w:rsid w:val="0035018C"/>
    <w:rsid w:val="00350821"/>
    <w:rsid w:val="00350977"/>
    <w:rsid w:val="00350C47"/>
    <w:rsid w:val="003514A9"/>
    <w:rsid w:val="00351D2D"/>
    <w:rsid w:val="00351E72"/>
    <w:rsid w:val="0035222B"/>
    <w:rsid w:val="003523D1"/>
    <w:rsid w:val="00352E67"/>
    <w:rsid w:val="003535E6"/>
    <w:rsid w:val="00353FB5"/>
    <w:rsid w:val="003544A1"/>
    <w:rsid w:val="00355339"/>
    <w:rsid w:val="00355B6E"/>
    <w:rsid w:val="00355BB0"/>
    <w:rsid w:val="00355C69"/>
    <w:rsid w:val="00355CCB"/>
    <w:rsid w:val="00355DDB"/>
    <w:rsid w:val="003561D7"/>
    <w:rsid w:val="00356242"/>
    <w:rsid w:val="00356924"/>
    <w:rsid w:val="0035696F"/>
    <w:rsid w:val="0035758D"/>
    <w:rsid w:val="003577EE"/>
    <w:rsid w:val="00357C05"/>
    <w:rsid w:val="00357F43"/>
    <w:rsid w:val="00360608"/>
    <w:rsid w:val="00360715"/>
    <w:rsid w:val="003614B2"/>
    <w:rsid w:val="003618C3"/>
    <w:rsid w:val="00361979"/>
    <w:rsid w:val="00361EB8"/>
    <w:rsid w:val="00362303"/>
    <w:rsid w:val="0036379E"/>
    <w:rsid w:val="003639F5"/>
    <w:rsid w:val="00363C36"/>
    <w:rsid w:val="00364B98"/>
    <w:rsid w:val="00364CEE"/>
    <w:rsid w:val="00364DDE"/>
    <w:rsid w:val="00365879"/>
    <w:rsid w:val="003659F6"/>
    <w:rsid w:val="003661F9"/>
    <w:rsid w:val="00366CEE"/>
    <w:rsid w:val="00366F13"/>
    <w:rsid w:val="00367BFC"/>
    <w:rsid w:val="00367C04"/>
    <w:rsid w:val="003716A6"/>
    <w:rsid w:val="00371CB7"/>
    <w:rsid w:val="0037217E"/>
    <w:rsid w:val="00372E62"/>
    <w:rsid w:val="003739C0"/>
    <w:rsid w:val="00374A4A"/>
    <w:rsid w:val="00374A4C"/>
    <w:rsid w:val="00374CBA"/>
    <w:rsid w:val="003752F9"/>
    <w:rsid w:val="00375DF7"/>
    <w:rsid w:val="00376249"/>
    <w:rsid w:val="00376462"/>
    <w:rsid w:val="00376BDD"/>
    <w:rsid w:val="00376E8B"/>
    <w:rsid w:val="0037711B"/>
    <w:rsid w:val="0037732B"/>
    <w:rsid w:val="00380CD9"/>
    <w:rsid w:val="00380E86"/>
    <w:rsid w:val="003818C7"/>
    <w:rsid w:val="00381E33"/>
    <w:rsid w:val="00381F7B"/>
    <w:rsid w:val="003823BB"/>
    <w:rsid w:val="003823EA"/>
    <w:rsid w:val="00382449"/>
    <w:rsid w:val="00382D85"/>
    <w:rsid w:val="00383646"/>
    <w:rsid w:val="00383A5C"/>
    <w:rsid w:val="00383A6F"/>
    <w:rsid w:val="0038456A"/>
    <w:rsid w:val="00384947"/>
    <w:rsid w:val="00384BAB"/>
    <w:rsid w:val="00384FAE"/>
    <w:rsid w:val="003856E5"/>
    <w:rsid w:val="00385718"/>
    <w:rsid w:val="00385973"/>
    <w:rsid w:val="00386035"/>
    <w:rsid w:val="0038725C"/>
    <w:rsid w:val="0038787F"/>
    <w:rsid w:val="003912BD"/>
    <w:rsid w:val="003918FA"/>
    <w:rsid w:val="00391D6A"/>
    <w:rsid w:val="00392548"/>
    <w:rsid w:val="0039330E"/>
    <w:rsid w:val="0039356C"/>
    <w:rsid w:val="00393743"/>
    <w:rsid w:val="00393AF8"/>
    <w:rsid w:val="00395659"/>
    <w:rsid w:val="00397457"/>
    <w:rsid w:val="00397EE3"/>
    <w:rsid w:val="003A0710"/>
    <w:rsid w:val="003A1203"/>
    <w:rsid w:val="003A184E"/>
    <w:rsid w:val="003A1982"/>
    <w:rsid w:val="003A217B"/>
    <w:rsid w:val="003A218C"/>
    <w:rsid w:val="003A2592"/>
    <w:rsid w:val="003A2720"/>
    <w:rsid w:val="003A3937"/>
    <w:rsid w:val="003A3FA2"/>
    <w:rsid w:val="003A4B2A"/>
    <w:rsid w:val="003A4ECA"/>
    <w:rsid w:val="003A4FE3"/>
    <w:rsid w:val="003A54D8"/>
    <w:rsid w:val="003A5592"/>
    <w:rsid w:val="003A5AE4"/>
    <w:rsid w:val="003A6438"/>
    <w:rsid w:val="003A672A"/>
    <w:rsid w:val="003A6985"/>
    <w:rsid w:val="003A6A86"/>
    <w:rsid w:val="003A6B3C"/>
    <w:rsid w:val="003A6B89"/>
    <w:rsid w:val="003A6C46"/>
    <w:rsid w:val="003A6D04"/>
    <w:rsid w:val="003A76C2"/>
    <w:rsid w:val="003A7ADB"/>
    <w:rsid w:val="003B0783"/>
    <w:rsid w:val="003B0B35"/>
    <w:rsid w:val="003B0EFE"/>
    <w:rsid w:val="003B110C"/>
    <w:rsid w:val="003B17A7"/>
    <w:rsid w:val="003B1E41"/>
    <w:rsid w:val="003B259F"/>
    <w:rsid w:val="003B2758"/>
    <w:rsid w:val="003B2F72"/>
    <w:rsid w:val="003B40AD"/>
    <w:rsid w:val="003B4D3C"/>
    <w:rsid w:val="003B63B3"/>
    <w:rsid w:val="003B6631"/>
    <w:rsid w:val="003B70F8"/>
    <w:rsid w:val="003C021C"/>
    <w:rsid w:val="003C07FE"/>
    <w:rsid w:val="003C1135"/>
    <w:rsid w:val="003C19B2"/>
    <w:rsid w:val="003C2541"/>
    <w:rsid w:val="003C2EDF"/>
    <w:rsid w:val="003C32B5"/>
    <w:rsid w:val="003C3B31"/>
    <w:rsid w:val="003C40AB"/>
    <w:rsid w:val="003C4286"/>
    <w:rsid w:val="003C46DE"/>
    <w:rsid w:val="003C4AC5"/>
    <w:rsid w:val="003C4F2C"/>
    <w:rsid w:val="003C589A"/>
    <w:rsid w:val="003C593E"/>
    <w:rsid w:val="003C7338"/>
    <w:rsid w:val="003C7B1A"/>
    <w:rsid w:val="003D003E"/>
    <w:rsid w:val="003D041D"/>
    <w:rsid w:val="003D04F7"/>
    <w:rsid w:val="003D0511"/>
    <w:rsid w:val="003D0B31"/>
    <w:rsid w:val="003D0E71"/>
    <w:rsid w:val="003D0F96"/>
    <w:rsid w:val="003D1BF6"/>
    <w:rsid w:val="003D1DB0"/>
    <w:rsid w:val="003D20EE"/>
    <w:rsid w:val="003D2720"/>
    <w:rsid w:val="003D2743"/>
    <w:rsid w:val="003D2B56"/>
    <w:rsid w:val="003D2DA3"/>
    <w:rsid w:val="003D351C"/>
    <w:rsid w:val="003D4CFB"/>
    <w:rsid w:val="003D4DF2"/>
    <w:rsid w:val="003D4FA6"/>
    <w:rsid w:val="003D516F"/>
    <w:rsid w:val="003D62D0"/>
    <w:rsid w:val="003D6551"/>
    <w:rsid w:val="003D68F7"/>
    <w:rsid w:val="003D6D38"/>
    <w:rsid w:val="003D6EA6"/>
    <w:rsid w:val="003D7634"/>
    <w:rsid w:val="003D781D"/>
    <w:rsid w:val="003D7DFB"/>
    <w:rsid w:val="003D7F7D"/>
    <w:rsid w:val="003E178B"/>
    <w:rsid w:val="003E19C8"/>
    <w:rsid w:val="003E26B8"/>
    <w:rsid w:val="003E4826"/>
    <w:rsid w:val="003E5A8C"/>
    <w:rsid w:val="003E5D43"/>
    <w:rsid w:val="003E5EA5"/>
    <w:rsid w:val="003E5FA1"/>
    <w:rsid w:val="003E6B15"/>
    <w:rsid w:val="003E6F5D"/>
    <w:rsid w:val="003E772D"/>
    <w:rsid w:val="003F0209"/>
    <w:rsid w:val="003F0AB3"/>
    <w:rsid w:val="003F0CAE"/>
    <w:rsid w:val="003F12EA"/>
    <w:rsid w:val="003F16E8"/>
    <w:rsid w:val="003F1902"/>
    <w:rsid w:val="003F2055"/>
    <w:rsid w:val="003F223A"/>
    <w:rsid w:val="003F2DDB"/>
    <w:rsid w:val="003F3225"/>
    <w:rsid w:val="003F4909"/>
    <w:rsid w:val="003F540D"/>
    <w:rsid w:val="003F6E0C"/>
    <w:rsid w:val="003F75CE"/>
    <w:rsid w:val="003F75F5"/>
    <w:rsid w:val="003F77CD"/>
    <w:rsid w:val="003F789B"/>
    <w:rsid w:val="003F7E58"/>
    <w:rsid w:val="00400324"/>
    <w:rsid w:val="00400492"/>
    <w:rsid w:val="00400876"/>
    <w:rsid w:val="004008C5"/>
    <w:rsid w:val="004008FD"/>
    <w:rsid w:val="0040225C"/>
    <w:rsid w:val="0040306D"/>
    <w:rsid w:val="00403C4E"/>
    <w:rsid w:val="004041FA"/>
    <w:rsid w:val="004046C6"/>
    <w:rsid w:val="00404764"/>
    <w:rsid w:val="004068A8"/>
    <w:rsid w:val="00410DD4"/>
    <w:rsid w:val="00411991"/>
    <w:rsid w:val="00412DE7"/>
    <w:rsid w:val="00413B99"/>
    <w:rsid w:val="0041403A"/>
    <w:rsid w:val="004144DC"/>
    <w:rsid w:val="00414886"/>
    <w:rsid w:val="00414B47"/>
    <w:rsid w:val="00414D6C"/>
    <w:rsid w:val="00415CA2"/>
    <w:rsid w:val="0041653F"/>
    <w:rsid w:val="00416BE2"/>
    <w:rsid w:val="00416E89"/>
    <w:rsid w:val="00416FEF"/>
    <w:rsid w:val="004171AD"/>
    <w:rsid w:val="00417F04"/>
    <w:rsid w:val="00420509"/>
    <w:rsid w:val="0042070E"/>
    <w:rsid w:val="00421179"/>
    <w:rsid w:val="00421539"/>
    <w:rsid w:val="004221B0"/>
    <w:rsid w:val="00422C68"/>
    <w:rsid w:val="00422F51"/>
    <w:rsid w:val="00423C35"/>
    <w:rsid w:val="0042420F"/>
    <w:rsid w:val="00424330"/>
    <w:rsid w:val="004243C0"/>
    <w:rsid w:val="004246EA"/>
    <w:rsid w:val="00424AA2"/>
    <w:rsid w:val="00424B2F"/>
    <w:rsid w:val="00424B58"/>
    <w:rsid w:val="00425148"/>
    <w:rsid w:val="004262BE"/>
    <w:rsid w:val="00426349"/>
    <w:rsid w:val="0042708D"/>
    <w:rsid w:val="004314AC"/>
    <w:rsid w:val="004319D9"/>
    <w:rsid w:val="00431A76"/>
    <w:rsid w:val="004325D5"/>
    <w:rsid w:val="00432752"/>
    <w:rsid w:val="00432918"/>
    <w:rsid w:val="00432994"/>
    <w:rsid w:val="00432AD6"/>
    <w:rsid w:val="0043380A"/>
    <w:rsid w:val="00434070"/>
    <w:rsid w:val="00434A17"/>
    <w:rsid w:val="00434FA5"/>
    <w:rsid w:val="004350DC"/>
    <w:rsid w:val="00435335"/>
    <w:rsid w:val="00435505"/>
    <w:rsid w:val="00435E0E"/>
    <w:rsid w:val="004362C2"/>
    <w:rsid w:val="00436D4C"/>
    <w:rsid w:val="00436FFE"/>
    <w:rsid w:val="00437609"/>
    <w:rsid w:val="00440F03"/>
    <w:rsid w:val="0044138A"/>
    <w:rsid w:val="00441D2D"/>
    <w:rsid w:val="0044212C"/>
    <w:rsid w:val="004427E8"/>
    <w:rsid w:val="004442F0"/>
    <w:rsid w:val="004451E5"/>
    <w:rsid w:val="00445BDA"/>
    <w:rsid w:val="00447258"/>
    <w:rsid w:val="00447786"/>
    <w:rsid w:val="00447D99"/>
    <w:rsid w:val="0045089D"/>
    <w:rsid w:val="00450DBE"/>
    <w:rsid w:val="00450E13"/>
    <w:rsid w:val="0045100E"/>
    <w:rsid w:val="00451B0A"/>
    <w:rsid w:val="00452551"/>
    <w:rsid w:val="00452B34"/>
    <w:rsid w:val="00453353"/>
    <w:rsid w:val="00453B10"/>
    <w:rsid w:val="004544C8"/>
    <w:rsid w:val="0045453F"/>
    <w:rsid w:val="00454711"/>
    <w:rsid w:val="00454AF7"/>
    <w:rsid w:val="0045508B"/>
    <w:rsid w:val="0045686B"/>
    <w:rsid w:val="0045749E"/>
    <w:rsid w:val="00457667"/>
    <w:rsid w:val="004601D5"/>
    <w:rsid w:val="004620D2"/>
    <w:rsid w:val="00462714"/>
    <w:rsid w:val="00462E44"/>
    <w:rsid w:val="00463834"/>
    <w:rsid w:val="00463FB0"/>
    <w:rsid w:val="00464B98"/>
    <w:rsid w:val="00464F17"/>
    <w:rsid w:val="00465727"/>
    <w:rsid w:val="00465F8E"/>
    <w:rsid w:val="004673C2"/>
    <w:rsid w:val="004677D7"/>
    <w:rsid w:val="004710B5"/>
    <w:rsid w:val="00472278"/>
    <w:rsid w:val="00474764"/>
    <w:rsid w:val="00475129"/>
    <w:rsid w:val="004757BA"/>
    <w:rsid w:val="00475C9E"/>
    <w:rsid w:val="004763A6"/>
    <w:rsid w:val="004767BF"/>
    <w:rsid w:val="00477605"/>
    <w:rsid w:val="004776B7"/>
    <w:rsid w:val="004776C1"/>
    <w:rsid w:val="0048091C"/>
    <w:rsid w:val="00481BF2"/>
    <w:rsid w:val="00481DB1"/>
    <w:rsid w:val="00482028"/>
    <w:rsid w:val="00482B54"/>
    <w:rsid w:val="004830DF"/>
    <w:rsid w:val="0048379B"/>
    <w:rsid w:val="004837C0"/>
    <w:rsid w:val="00483A0C"/>
    <w:rsid w:val="00483C55"/>
    <w:rsid w:val="00484787"/>
    <w:rsid w:val="0048485C"/>
    <w:rsid w:val="00484902"/>
    <w:rsid w:val="00484B44"/>
    <w:rsid w:val="00484BC0"/>
    <w:rsid w:val="004853FB"/>
    <w:rsid w:val="0048595A"/>
    <w:rsid w:val="004859D2"/>
    <w:rsid w:val="0048645F"/>
    <w:rsid w:val="00486C88"/>
    <w:rsid w:val="00487020"/>
    <w:rsid w:val="00487869"/>
    <w:rsid w:val="00487E7E"/>
    <w:rsid w:val="00490007"/>
    <w:rsid w:val="00490A74"/>
    <w:rsid w:val="0049114C"/>
    <w:rsid w:val="004924C8"/>
    <w:rsid w:val="004926D5"/>
    <w:rsid w:val="00492A15"/>
    <w:rsid w:val="004932E0"/>
    <w:rsid w:val="00493B30"/>
    <w:rsid w:val="00493BAD"/>
    <w:rsid w:val="00494930"/>
    <w:rsid w:val="00495357"/>
    <w:rsid w:val="0049652F"/>
    <w:rsid w:val="004967F7"/>
    <w:rsid w:val="00497799"/>
    <w:rsid w:val="00497C2D"/>
    <w:rsid w:val="00497F50"/>
    <w:rsid w:val="004A078C"/>
    <w:rsid w:val="004A1474"/>
    <w:rsid w:val="004A1A2D"/>
    <w:rsid w:val="004A21F7"/>
    <w:rsid w:val="004A313B"/>
    <w:rsid w:val="004A385B"/>
    <w:rsid w:val="004A3CB2"/>
    <w:rsid w:val="004A490A"/>
    <w:rsid w:val="004A521C"/>
    <w:rsid w:val="004A55C3"/>
    <w:rsid w:val="004A5E15"/>
    <w:rsid w:val="004A6161"/>
    <w:rsid w:val="004A6A35"/>
    <w:rsid w:val="004A7E56"/>
    <w:rsid w:val="004B01D2"/>
    <w:rsid w:val="004B0605"/>
    <w:rsid w:val="004B0C9C"/>
    <w:rsid w:val="004B0DA2"/>
    <w:rsid w:val="004B1D12"/>
    <w:rsid w:val="004B1FE6"/>
    <w:rsid w:val="004B2128"/>
    <w:rsid w:val="004B2400"/>
    <w:rsid w:val="004B4B8A"/>
    <w:rsid w:val="004B4D01"/>
    <w:rsid w:val="004B4D7F"/>
    <w:rsid w:val="004B65DA"/>
    <w:rsid w:val="004B696A"/>
    <w:rsid w:val="004B7315"/>
    <w:rsid w:val="004B7D36"/>
    <w:rsid w:val="004C0826"/>
    <w:rsid w:val="004C0B37"/>
    <w:rsid w:val="004C1105"/>
    <w:rsid w:val="004C13A4"/>
    <w:rsid w:val="004C1EE2"/>
    <w:rsid w:val="004C26D3"/>
    <w:rsid w:val="004C2803"/>
    <w:rsid w:val="004C2D0D"/>
    <w:rsid w:val="004C4F1D"/>
    <w:rsid w:val="004C55B0"/>
    <w:rsid w:val="004C5C44"/>
    <w:rsid w:val="004C693B"/>
    <w:rsid w:val="004C6A5B"/>
    <w:rsid w:val="004C6DB2"/>
    <w:rsid w:val="004C74CE"/>
    <w:rsid w:val="004D0BF1"/>
    <w:rsid w:val="004D0EA1"/>
    <w:rsid w:val="004D213A"/>
    <w:rsid w:val="004D2FBA"/>
    <w:rsid w:val="004D33B2"/>
    <w:rsid w:val="004D4770"/>
    <w:rsid w:val="004D48E7"/>
    <w:rsid w:val="004D4CB0"/>
    <w:rsid w:val="004D4D70"/>
    <w:rsid w:val="004D5219"/>
    <w:rsid w:val="004D5444"/>
    <w:rsid w:val="004D572D"/>
    <w:rsid w:val="004D58B9"/>
    <w:rsid w:val="004D61D4"/>
    <w:rsid w:val="004D62BB"/>
    <w:rsid w:val="004D6A65"/>
    <w:rsid w:val="004D6A93"/>
    <w:rsid w:val="004D7C60"/>
    <w:rsid w:val="004E1438"/>
    <w:rsid w:val="004E15F8"/>
    <w:rsid w:val="004E2477"/>
    <w:rsid w:val="004E579F"/>
    <w:rsid w:val="004E58DF"/>
    <w:rsid w:val="004E6A04"/>
    <w:rsid w:val="004E70C4"/>
    <w:rsid w:val="004E78CF"/>
    <w:rsid w:val="004F01E2"/>
    <w:rsid w:val="004F1503"/>
    <w:rsid w:val="004F187B"/>
    <w:rsid w:val="004F33D7"/>
    <w:rsid w:val="004F36CA"/>
    <w:rsid w:val="004F399D"/>
    <w:rsid w:val="004F3E39"/>
    <w:rsid w:val="004F4769"/>
    <w:rsid w:val="004F5641"/>
    <w:rsid w:val="004F5FCC"/>
    <w:rsid w:val="004F68CC"/>
    <w:rsid w:val="004F7295"/>
    <w:rsid w:val="004F754F"/>
    <w:rsid w:val="004F77F7"/>
    <w:rsid w:val="00500473"/>
    <w:rsid w:val="00501B3C"/>
    <w:rsid w:val="00501E3E"/>
    <w:rsid w:val="00502443"/>
    <w:rsid w:val="005026B9"/>
    <w:rsid w:val="00502891"/>
    <w:rsid w:val="005030F9"/>
    <w:rsid w:val="0050366F"/>
    <w:rsid w:val="0050375D"/>
    <w:rsid w:val="00503C01"/>
    <w:rsid w:val="00505191"/>
    <w:rsid w:val="00505237"/>
    <w:rsid w:val="0050543A"/>
    <w:rsid w:val="0050569B"/>
    <w:rsid w:val="00505708"/>
    <w:rsid w:val="0050580A"/>
    <w:rsid w:val="00505AAD"/>
    <w:rsid w:val="00505FA8"/>
    <w:rsid w:val="00506192"/>
    <w:rsid w:val="00506EDC"/>
    <w:rsid w:val="00507636"/>
    <w:rsid w:val="00507B1D"/>
    <w:rsid w:val="00510990"/>
    <w:rsid w:val="0051201B"/>
    <w:rsid w:val="005126F5"/>
    <w:rsid w:val="00513D1A"/>
    <w:rsid w:val="00513DB0"/>
    <w:rsid w:val="00513F52"/>
    <w:rsid w:val="005141A6"/>
    <w:rsid w:val="00514ACC"/>
    <w:rsid w:val="00517209"/>
    <w:rsid w:val="00521222"/>
    <w:rsid w:val="00521E2A"/>
    <w:rsid w:val="00523488"/>
    <w:rsid w:val="00525D29"/>
    <w:rsid w:val="00525D2D"/>
    <w:rsid w:val="00525E9F"/>
    <w:rsid w:val="005262DB"/>
    <w:rsid w:val="00527956"/>
    <w:rsid w:val="00527ED9"/>
    <w:rsid w:val="00527F6B"/>
    <w:rsid w:val="00530236"/>
    <w:rsid w:val="005306ED"/>
    <w:rsid w:val="00530937"/>
    <w:rsid w:val="00530964"/>
    <w:rsid w:val="005310B7"/>
    <w:rsid w:val="005321DD"/>
    <w:rsid w:val="00532970"/>
    <w:rsid w:val="00532E00"/>
    <w:rsid w:val="00533715"/>
    <w:rsid w:val="00533828"/>
    <w:rsid w:val="00533F99"/>
    <w:rsid w:val="005345C3"/>
    <w:rsid w:val="005359D2"/>
    <w:rsid w:val="00535B73"/>
    <w:rsid w:val="00535F15"/>
    <w:rsid w:val="0053707F"/>
    <w:rsid w:val="00537164"/>
    <w:rsid w:val="00537420"/>
    <w:rsid w:val="0053754E"/>
    <w:rsid w:val="005375DF"/>
    <w:rsid w:val="0053790E"/>
    <w:rsid w:val="00537BF7"/>
    <w:rsid w:val="00537D59"/>
    <w:rsid w:val="00540174"/>
    <w:rsid w:val="0054131D"/>
    <w:rsid w:val="0054255C"/>
    <w:rsid w:val="005426B8"/>
    <w:rsid w:val="00542975"/>
    <w:rsid w:val="005438EF"/>
    <w:rsid w:val="00543F60"/>
    <w:rsid w:val="00544B51"/>
    <w:rsid w:val="00544F22"/>
    <w:rsid w:val="00544F8B"/>
    <w:rsid w:val="0054509C"/>
    <w:rsid w:val="0054559D"/>
    <w:rsid w:val="00546594"/>
    <w:rsid w:val="00546DAD"/>
    <w:rsid w:val="00546F91"/>
    <w:rsid w:val="00547A9C"/>
    <w:rsid w:val="00547D9A"/>
    <w:rsid w:val="00550D2F"/>
    <w:rsid w:val="00552D91"/>
    <w:rsid w:val="00552F0F"/>
    <w:rsid w:val="00553CAE"/>
    <w:rsid w:val="00553F6F"/>
    <w:rsid w:val="005550FE"/>
    <w:rsid w:val="0055551B"/>
    <w:rsid w:val="00555A81"/>
    <w:rsid w:val="00555DA7"/>
    <w:rsid w:val="005568CF"/>
    <w:rsid w:val="00557E40"/>
    <w:rsid w:val="005606C4"/>
    <w:rsid w:val="00561981"/>
    <w:rsid w:val="00561D44"/>
    <w:rsid w:val="00561E61"/>
    <w:rsid w:val="00561F56"/>
    <w:rsid w:val="00562A6D"/>
    <w:rsid w:val="00562C0B"/>
    <w:rsid w:val="00562D11"/>
    <w:rsid w:val="00563466"/>
    <w:rsid w:val="00564B36"/>
    <w:rsid w:val="005651DC"/>
    <w:rsid w:val="00565486"/>
    <w:rsid w:val="005655D0"/>
    <w:rsid w:val="00565786"/>
    <w:rsid w:val="00565DF5"/>
    <w:rsid w:val="00567FF5"/>
    <w:rsid w:val="00570724"/>
    <w:rsid w:val="00571360"/>
    <w:rsid w:val="005718E2"/>
    <w:rsid w:val="00571DB1"/>
    <w:rsid w:val="00572145"/>
    <w:rsid w:val="00572BD9"/>
    <w:rsid w:val="00573ED3"/>
    <w:rsid w:val="00574161"/>
    <w:rsid w:val="0057555E"/>
    <w:rsid w:val="00575FB6"/>
    <w:rsid w:val="0057786A"/>
    <w:rsid w:val="005778B9"/>
    <w:rsid w:val="0058042F"/>
    <w:rsid w:val="005820C3"/>
    <w:rsid w:val="00582662"/>
    <w:rsid w:val="00582844"/>
    <w:rsid w:val="00582923"/>
    <w:rsid w:val="005830A7"/>
    <w:rsid w:val="00583354"/>
    <w:rsid w:val="00583ACF"/>
    <w:rsid w:val="00583DFA"/>
    <w:rsid w:val="00583FC6"/>
    <w:rsid w:val="005849AF"/>
    <w:rsid w:val="00584FC6"/>
    <w:rsid w:val="00585DEB"/>
    <w:rsid w:val="005860F6"/>
    <w:rsid w:val="005866BB"/>
    <w:rsid w:val="0058674B"/>
    <w:rsid w:val="00586D00"/>
    <w:rsid w:val="005870C5"/>
    <w:rsid w:val="005904A9"/>
    <w:rsid w:val="0059075B"/>
    <w:rsid w:val="00590BD9"/>
    <w:rsid w:val="005914CD"/>
    <w:rsid w:val="00591E0A"/>
    <w:rsid w:val="00591ED0"/>
    <w:rsid w:val="0059259F"/>
    <w:rsid w:val="00593CCA"/>
    <w:rsid w:val="00594067"/>
    <w:rsid w:val="005944F3"/>
    <w:rsid w:val="005945FA"/>
    <w:rsid w:val="0059476D"/>
    <w:rsid w:val="0059488E"/>
    <w:rsid w:val="00594988"/>
    <w:rsid w:val="00594B41"/>
    <w:rsid w:val="00595450"/>
    <w:rsid w:val="00595CA6"/>
    <w:rsid w:val="00595E94"/>
    <w:rsid w:val="00596049"/>
    <w:rsid w:val="00597643"/>
    <w:rsid w:val="00597BFB"/>
    <w:rsid w:val="00597D06"/>
    <w:rsid w:val="005A06E0"/>
    <w:rsid w:val="005A0FB7"/>
    <w:rsid w:val="005A1D88"/>
    <w:rsid w:val="005A1FE0"/>
    <w:rsid w:val="005A20E9"/>
    <w:rsid w:val="005A2167"/>
    <w:rsid w:val="005A35D9"/>
    <w:rsid w:val="005A3604"/>
    <w:rsid w:val="005A3E76"/>
    <w:rsid w:val="005A40A2"/>
    <w:rsid w:val="005A40CB"/>
    <w:rsid w:val="005A51EB"/>
    <w:rsid w:val="005A5445"/>
    <w:rsid w:val="005A59FA"/>
    <w:rsid w:val="005A5CC2"/>
    <w:rsid w:val="005A6182"/>
    <w:rsid w:val="005A61EA"/>
    <w:rsid w:val="005A68C3"/>
    <w:rsid w:val="005B0A51"/>
    <w:rsid w:val="005B1646"/>
    <w:rsid w:val="005B16F7"/>
    <w:rsid w:val="005B1A6E"/>
    <w:rsid w:val="005B1D04"/>
    <w:rsid w:val="005B1F9C"/>
    <w:rsid w:val="005B28BF"/>
    <w:rsid w:val="005B3C45"/>
    <w:rsid w:val="005B4824"/>
    <w:rsid w:val="005B4830"/>
    <w:rsid w:val="005B5E26"/>
    <w:rsid w:val="005B5FF5"/>
    <w:rsid w:val="005B6537"/>
    <w:rsid w:val="005B6637"/>
    <w:rsid w:val="005B7398"/>
    <w:rsid w:val="005B74F6"/>
    <w:rsid w:val="005B7A58"/>
    <w:rsid w:val="005B7EC8"/>
    <w:rsid w:val="005C005F"/>
    <w:rsid w:val="005C084C"/>
    <w:rsid w:val="005C0DAD"/>
    <w:rsid w:val="005C128B"/>
    <w:rsid w:val="005C12FF"/>
    <w:rsid w:val="005C148F"/>
    <w:rsid w:val="005C15C5"/>
    <w:rsid w:val="005C1710"/>
    <w:rsid w:val="005C2217"/>
    <w:rsid w:val="005C2711"/>
    <w:rsid w:val="005C2C34"/>
    <w:rsid w:val="005C2E37"/>
    <w:rsid w:val="005C344B"/>
    <w:rsid w:val="005C34C1"/>
    <w:rsid w:val="005C3A64"/>
    <w:rsid w:val="005C3DDB"/>
    <w:rsid w:val="005C4409"/>
    <w:rsid w:val="005C445B"/>
    <w:rsid w:val="005C4D4E"/>
    <w:rsid w:val="005C5AAD"/>
    <w:rsid w:val="005C773B"/>
    <w:rsid w:val="005C7C4B"/>
    <w:rsid w:val="005D00E5"/>
    <w:rsid w:val="005D029E"/>
    <w:rsid w:val="005D0B7E"/>
    <w:rsid w:val="005D0E49"/>
    <w:rsid w:val="005D1584"/>
    <w:rsid w:val="005D2BCE"/>
    <w:rsid w:val="005D31E0"/>
    <w:rsid w:val="005D32B8"/>
    <w:rsid w:val="005D32DB"/>
    <w:rsid w:val="005D38A7"/>
    <w:rsid w:val="005D480F"/>
    <w:rsid w:val="005D77F1"/>
    <w:rsid w:val="005E00ED"/>
    <w:rsid w:val="005E030F"/>
    <w:rsid w:val="005E07B7"/>
    <w:rsid w:val="005E1BD7"/>
    <w:rsid w:val="005E2073"/>
    <w:rsid w:val="005E2280"/>
    <w:rsid w:val="005E237F"/>
    <w:rsid w:val="005E3039"/>
    <w:rsid w:val="005E3D5A"/>
    <w:rsid w:val="005E3F73"/>
    <w:rsid w:val="005E4784"/>
    <w:rsid w:val="005E4E69"/>
    <w:rsid w:val="005E4F1A"/>
    <w:rsid w:val="005E577E"/>
    <w:rsid w:val="005E581D"/>
    <w:rsid w:val="005E5978"/>
    <w:rsid w:val="005E5FA0"/>
    <w:rsid w:val="005E7096"/>
    <w:rsid w:val="005E759A"/>
    <w:rsid w:val="005E7F86"/>
    <w:rsid w:val="005F04F1"/>
    <w:rsid w:val="005F1476"/>
    <w:rsid w:val="005F1642"/>
    <w:rsid w:val="005F397E"/>
    <w:rsid w:val="005F39D4"/>
    <w:rsid w:val="005F521E"/>
    <w:rsid w:val="005F6009"/>
    <w:rsid w:val="005F6272"/>
    <w:rsid w:val="005F648E"/>
    <w:rsid w:val="005F68FC"/>
    <w:rsid w:val="005F7261"/>
    <w:rsid w:val="005F7344"/>
    <w:rsid w:val="005F7E4E"/>
    <w:rsid w:val="00600319"/>
    <w:rsid w:val="00600D65"/>
    <w:rsid w:val="00600E9F"/>
    <w:rsid w:val="00601C7A"/>
    <w:rsid w:val="00601F9C"/>
    <w:rsid w:val="00602F27"/>
    <w:rsid w:val="0060335A"/>
    <w:rsid w:val="0060389F"/>
    <w:rsid w:val="00603BDE"/>
    <w:rsid w:val="006042F4"/>
    <w:rsid w:val="006049B8"/>
    <w:rsid w:val="00604E3B"/>
    <w:rsid w:val="00605088"/>
    <w:rsid w:val="00605404"/>
    <w:rsid w:val="006054C6"/>
    <w:rsid w:val="00605D3A"/>
    <w:rsid w:val="00606214"/>
    <w:rsid w:val="0060674F"/>
    <w:rsid w:val="00606DCF"/>
    <w:rsid w:val="0060754F"/>
    <w:rsid w:val="00607AE1"/>
    <w:rsid w:val="00607ECB"/>
    <w:rsid w:val="0061098F"/>
    <w:rsid w:val="00610E75"/>
    <w:rsid w:val="00611533"/>
    <w:rsid w:val="0061185E"/>
    <w:rsid w:val="006120D7"/>
    <w:rsid w:val="006126FB"/>
    <w:rsid w:val="00613036"/>
    <w:rsid w:val="006138F3"/>
    <w:rsid w:val="00613D10"/>
    <w:rsid w:val="006142A2"/>
    <w:rsid w:val="00614356"/>
    <w:rsid w:val="0061436B"/>
    <w:rsid w:val="006150EF"/>
    <w:rsid w:val="00615A09"/>
    <w:rsid w:val="00615D9C"/>
    <w:rsid w:val="00616B65"/>
    <w:rsid w:val="006201C4"/>
    <w:rsid w:val="00620C05"/>
    <w:rsid w:val="00620E66"/>
    <w:rsid w:val="006211B0"/>
    <w:rsid w:val="00622827"/>
    <w:rsid w:val="006228A3"/>
    <w:rsid w:val="00623DA7"/>
    <w:rsid w:val="00623E4D"/>
    <w:rsid w:val="0062431D"/>
    <w:rsid w:val="00624AC1"/>
    <w:rsid w:val="00625108"/>
    <w:rsid w:val="00625687"/>
    <w:rsid w:val="00625D0C"/>
    <w:rsid w:val="00626446"/>
    <w:rsid w:val="00626578"/>
    <w:rsid w:val="006265CA"/>
    <w:rsid w:val="006265F0"/>
    <w:rsid w:val="006266DF"/>
    <w:rsid w:val="006271BB"/>
    <w:rsid w:val="0063031F"/>
    <w:rsid w:val="006303A4"/>
    <w:rsid w:val="006304AC"/>
    <w:rsid w:val="006308D0"/>
    <w:rsid w:val="006311BB"/>
    <w:rsid w:val="00631283"/>
    <w:rsid w:val="00631346"/>
    <w:rsid w:val="00631ADE"/>
    <w:rsid w:val="006321D2"/>
    <w:rsid w:val="006328FF"/>
    <w:rsid w:val="00632C20"/>
    <w:rsid w:val="00632DCA"/>
    <w:rsid w:val="00633284"/>
    <w:rsid w:val="006332E6"/>
    <w:rsid w:val="006336BB"/>
    <w:rsid w:val="00634EDF"/>
    <w:rsid w:val="0063522C"/>
    <w:rsid w:val="00635244"/>
    <w:rsid w:val="0063553D"/>
    <w:rsid w:val="0063570A"/>
    <w:rsid w:val="006358BC"/>
    <w:rsid w:val="00636113"/>
    <w:rsid w:val="00637406"/>
    <w:rsid w:val="00637647"/>
    <w:rsid w:val="00640010"/>
    <w:rsid w:val="00640190"/>
    <w:rsid w:val="0064038E"/>
    <w:rsid w:val="0064044F"/>
    <w:rsid w:val="006407CD"/>
    <w:rsid w:val="00640BD1"/>
    <w:rsid w:val="00640D9B"/>
    <w:rsid w:val="0064168F"/>
    <w:rsid w:val="00641BA6"/>
    <w:rsid w:val="00642018"/>
    <w:rsid w:val="0064463E"/>
    <w:rsid w:val="00644FD3"/>
    <w:rsid w:val="0064512B"/>
    <w:rsid w:val="006454E5"/>
    <w:rsid w:val="006455E1"/>
    <w:rsid w:val="00645EB6"/>
    <w:rsid w:val="00646422"/>
    <w:rsid w:val="006466A0"/>
    <w:rsid w:val="00646DA4"/>
    <w:rsid w:val="006473CC"/>
    <w:rsid w:val="0064779F"/>
    <w:rsid w:val="006509DC"/>
    <w:rsid w:val="00650B6E"/>
    <w:rsid w:val="00650F28"/>
    <w:rsid w:val="00651405"/>
    <w:rsid w:val="006517CC"/>
    <w:rsid w:val="0065316B"/>
    <w:rsid w:val="0065406B"/>
    <w:rsid w:val="0065497A"/>
    <w:rsid w:val="00654A50"/>
    <w:rsid w:val="00655BC2"/>
    <w:rsid w:val="00655F0C"/>
    <w:rsid w:val="00656673"/>
    <w:rsid w:val="0065711D"/>
    <w:rsid w:val="0065718F"/>
    <w:rsid w:val="00657492"/>
    <w:rsid w:val="006577D9"/>
    <w:rsid w:val="00657B63"/>
    <w:rsid w:val="0066020A"/>
    <w:rsid w:val="00660504"/>
    <w:rsid w:val="00661BFF"/>
    <w:rsid w:val="00662B00"/>
    <w:rsid w:val="0066330F"/>
    <w:rsid w:val="00663352"/>
    <w:rsid w:val="006636A3"/>
    <w:rsid w:val="00663C5A"/>
    <w:rsid w:val="006643A5"/>
    <w:rsid w:val="006650AC"/>
    <w:rsid w:val="006653CA"/>
    <w:rsid w:val="006653D4"/>
    <w:rsid w:val="00665477"/>
    <w:rsid w:val="00665526"/>
    <w:rsid w:val="00665760"/>
    <w:rsid w:val="00665924"/>
    <w:rsid w:val="006659D8"/>
    <w:rsid w:val="0066650E"/>
    <w:rsid w:val="00666994"/>
    <w:rsid w:val="00667678"/>
    <w:rsid w:val="006704AF"/>
    <w:rsid w:val="0067160C"/>
    <w:rsid w:val="00671F42"/>
    <w:rsid w:val="006720C3"/>
    <w:rsid w:val="006722FE"/>
    <w:rsid w:val="006723E2"/>
    <w:rsid w:val="00672423"/>
    <w:rsid w:val="006728CD"/>
    <w:rsid w:val="0067291B"/>
    <w:rsid w:val="00672F9A"/>
    <w:rsid w:val="00673CE2"/>
    <w:rsid w:val="006747F9"/>
    <w:rsid w:val="00674A52"/>
    <w:rsid w:val="00674DC9"/>
    <w:rsid w:val="00674F17"/>
    <w:rsid w:val="006751A8"/>
    <w:rsid w:val="00676935"/>
    <w:rsid w:val="006779F9"/>
    <w:rsid w:val="00677AA0"/>
    <w:rsid w:val="006809FE"/>
    <w:rsid w:val="00681158"/>
    <w:rsid w:val="00681DF7"/>
    <w:rsid w:val="0068254D"/>
    <w:rsid w:val="00682C01"/>
    <w:rsid w:val="00683080"/>
    <w:rsid w:val="0068350D"/>
    <w:rsid w:val="0068375B"/>
    <w:rsid w:val="006851F3"/>
    <w:rsid w:val="00685EA4"/>
    <w:rsid w:val="00687083"/>
    <w:rsid w:val="00687977"/>
    <w:rsid w:val="00687CAD"/>
    <w:rsid w:val="00687F0B"/>
    <w:rsid w:val="00691000"/>
    <w:rsid w:val="0069101F"/>
    <w:rsid w:val="006911BD"/>
    <w:rsid w:val="006928E5"/>
    <w:rsid w:val="00692FEA"/>
    <w:rsid w:val="006931A3"/>
    <w:rsid w:val="006932C7"/>
    <w:rsid w:val="0069363B"/>
    <w:rsid w:val="00693B5E"/>
    <w:rsid w:val="00693BE2"/>
    <w:rsid w:val="00694B3E"/>
    <w:rsid w:val="0069538E"/>
    <w:rsid w:val="006954F4"/>
    <w:rsid w:val="00695946"/>
    <w:rsid w:val="006970B5"/>
    <w:rsid w:val="00697D2B"/>
    <w:rsid w:val="00697FB8"/>
    <w:rsid w:val="006A1764"/>
    <w:rsid w:val="006A207A"/>
    <w:rsid w:val="006A240A"/>
    <w:rsid w:val="006A25F7"/>
    <w:rsid w:val="006A2C4C"/>
    <w:rsid w:val="006A392D"/>
    <w:rsid w:val="006A3D0F"/>
    <w:rsid w:val="006A3D60"/>
    <w:rsid w:val="006A40FA"/>
    <w:rsid w:val="006A44BC"/>
    <w:rsid w:val="006A45D4"/>
    <w:rsid w:val="006A51C6"/>
    <w:rsid w:val="006A51F8"/>
    <w:rsid w:val="006A584A"/>
    <w:rsid w:val="006A58D0"/>
    <w:rsid w:val="006A5FAE"/>
    <w:rsid w:val="006A5FD9"/>
    <w:rsid w:val="006A6270"/>
    <w:rsid w:val="006A64DE"/>
    <w:rsid w:val="006A672E"/>
    <w:rsid w:val="006A676E"/>
    <w:rsid w:val="006A6BD0"/>
    <w:rsid w:val="006A6D1C"/>
    <w:rsid w:val="006A6EAD"/>
    <w:rsid w:val="006A7231"/>
    <w:rsid w:val="006A731A"/>
    <w:rsid w:val="006A7FC8"/>
    <w:rsid w:val="006B133F"/>
    <w:rsid w:val="006B1A5B"/>
    <w:rsid w:val="006B1E6D"/>
    <w:rsid w:val="006B2D73"/>
    <w:rsid w:val="006B43DF"/>
    <w:rsid w:val="006B4B84"/>
    <w:rsid w:val="006B532C"/>
    <w:rsid w:val="006B573E"/>
    <w:rsid w:val="006B5924"/>
    <w:rsid w:val="006B5FDD"/>
    <w:rsid w:val="006B6117"/>
    <w:rsid w:val="006B61B3"/>
    <w:rsid w:val="006B71E2"/>
    <w:rsid w:val="006B7385"/>
    <w:rsid w:val="006B7625"/>
    <w:rsid w:val="006B7683"/>
    <w:rsid w:val="006C0A73"/>
    <w:rsid w:val="006C1622"/>
    <w:rsid w:val="006C1DA8"/>
    <w:rsid w:val="006C1DB1"/>
    <w:rsid w:val="006C22E5"/>
    <w:rsid w:val="006C2633"/>
    <w:rsid w:val="006C27DB"/>
    <w:rsid w:val="006C2848"/>
    <w:rsid w:val="006C377D"/>
    <w:rsid w:val="006C39FD"/>
    <w:rsid w:val="006C4910"/>
    <w:rsid w:val="006C574A"/>
    <w:rsid w:val="006C59F8"/>
    <w:rsid w:val="006C5F2B"/>
    <w:rsid w:val="006C69A6"/>
    <w:rsid w:val="006C6B02"/>
    <w:rsid w:val="006C6C3B"/>
    <w:rsid w:val="006C6C48"/>
    <w:rsid w:val="006C743C"/>
    <w:rsid w:val="006D01ED"/>
    <w:rsid w:val="006D059E"/>
    <w:rsid w:val="006D098B"/>
    <w:rsid w:val="006D1386"/>
    <w:rsid w:val="006D233E"/>
    <w:rsid w:val="006D27E4"/>
    <w:rsid w:val="006D3044"/>
    <w:rsid w:val="006D3490"/>
    <w:rsid w:val="006D398E"/>
    <w:rsid w:val="006D40D3"/>
    <w:rsid w:val="006D4569"/>
    <w:rsid w:val="006D4645"/>
    <w:rsid w:val="006D4982"/>
    <w:rsid w:val="006D4B58"/>
    <w:rsid w:val="006D4D5F"/>
    <w:rsid w:val="006D4F96"/>
    <w:rsid w:val="006D571D"/>
    <w:rsid w:val="006D6FB1"/>
    <w:rsid w:val="006E0123"/>
    <w:rsid w:val="006E0B94"/>
    <w:rsid w:val="006E10F5"/>
    <w:rsid w:val="006E148F"/>
    <w:rsid w:val="006E1714"/>
    <w:rsid w:val="006E196D"/>
    <w:rsid w:val="006E2323"/>
    <w:rsid w:val="006E271D"/>
    <w:rsid w:val="006E37FB"/>
    <w:rsid w:val="006E43EC"/>
    <w:rsid w:val="006E497B"/>
    <w:rsid w:val="006E5300"/>
    <w:rsid w:val="006E5EFE"/>
    <w:rsid w:val="006E5FAB"/>
    <w:rsid w:val="006E6004"/>
    <w:rsid w:val="006E64E9"/>
    <w:rsid w:val="006E6615"/>
    <w:rsid w:val="006E6DF6"/>
    <w:rsid w:val="006F0131"/>
    <w:rsid w:val="006F04D9"/>
    <w:rsid w:val="006F088D"/>
    <w:rsid w:val="006F0ABA"/>
    <w:rsid w:val="006F10C2"/>
    <w:rsid w:val="006F1406"/>
    <w:rsid w:val="006F1824"/>
    <w:rsid w:val="006F1D2B"/>
    <w:rsid w:val="006F25A5"/>
    <w:rsid w:val="006F3A19"/>
    <w:rsid w:val="006F3CDD"/>
    <w:rsid w:val="006F42EB"/>
    <w:rsid w:val="006F47BD"/>
    <w:rsid w:val="006F4D09"/>
    <w:rsid w:val="006F6306"/>
    <w:rsid w:val="006F66B7"/>
    <w:rsid w:val="006F68AC"/>
    <w:rsid w:val="006F6B37"/>
    <w:rsid w:val="006F6C7E"/>
    <w:rsid w:val="006F79C0"/>
    <w:rsid w:val="006F7B26"/>
    <w:rsid w:val="006F7E2B"/>
    <w:rsid w:val="00700217"/>
    <w:rsid w:val="00700906"/>
    <w:rsid w:val="00700A61"/>
    <w:rsid w:val="00700C4B"/>
    <w:rsid w:val="00701651"/>
    <w:rsid w:val="00702012"/>
    <w:rsid w:val="0070254C"/>
    <w:rsid w:val="00702713"/>
    <w:rsid w:val="00702BDF"/>
    <w:rsid w:val="00703BF0"/>
    <w:rsid w:val="00703E1D"/>
    <w:rsid w:val="00704624"/>
    <w:rsid w:val="007047E8"/>
    <w:rsid w:val="007054CF"/>
    <w:rsid w:val="00705513"/>
    <w:rsid w:val="00705D40"/>
    <w:rsid w:val="0070701D"/>
    <w:rsid w:val="007070C0"/>
    <w:rsid w:val="00707CB7"/>
    <w:rsid w:val="00707E80"/>
    <w:rsid w:val="00710BF4"/>
    <w:rsid w:val="00711183"/>
    <w:rsid w:val="0071139A"/>
    <w:rsid w:val="00712388"/>
    <w:rsid w:val="00712CE4"/>
    <w:rsid w:val="00713972"/>
    <w:rsid w:val="0071416E"/>
    <w:rsid w:val="007143CA"/>
    <w:rsid w:val="00714A9B"/>
    <w:rsid w:val="00714B78"/>
    <w:rsid w:val="00715398"/>
    <w:rsid w:val="00715717"/>
    <w:rsid w:val="00716272"/>
    <w:rsid w:val="00716B6B"/>
    <w:rsid w:val="007171D9"/>
    <w:rsid w:val="00717285"/>
    <w:rsid w:val="00717364"/>
    <w:rsid w:val="007178FB"/>
    <w:rsid w:val="00717980"/>
    <w:rsid w:val="00717C87"/>
    <w:rsid w:val="007208BC"/>
    <w:rsid w:val="0072090C"/>
    <w:rsid w:val="00721161"/>
    <w:rsid w:val="007218FD"/>
    <w:rsid w:val="00721A0C"/>
    <w:rsid w:val="00721E70"/>
    <w:rsid w:val="00722574"/>
    <w:rsid w:val="0072275D"/>
    <w:rsid w:val="007227F0"/>
    <w:rsid w:val="00722BAF"/>
    <w:rsid w:val="00722C41"/>
    <w:rsid w:val="00722D13"/>
    <w:rsid w:val="00723012"/>
    <w:rsid w:val="007237D9"/>
    <w:rsid w:val="00723C91"/>
    <w:rsid w:val="007243D4"/>
    <w:rsid w:val="0072561E"/>
    <w:rsid w:val="00725B40"/>
    <w:rsid w:val="0072618E"/>
    <w:rsid w:val="007262CF"/>
    <w:rsid w:val="00726568"/>
    <w:rsid w:val="00726C93"/>
    <w:rsid w:val="00727532"/>
    <w:rsid w:val="00727535"/>
    <w:rsid w:val="00727582"/>
    <w:rsid w:val="00727883"/>
    <w:rsid w:val="0073026C"/>
    <w:rsid w:val="007315EA"/>
    <w:rsid w:val="00731C5D"/>
    <w:rsid w:val="00732582"/>
    <w:rsid w:val="00732E28"/>
    <w:rsid w:val="0073382C"/>
    <w:rsid w:val="00733D0F"/>
    <w:rsid w:val="0073481B"/>
    <w:rsid w:val="00734A31"/>
    <w:rsid w:val="00735525"/>
    <w:rsid w:val="007355CD"/>
    <w:rsid w:val="00736346"/>
    <w:rsid w:val="0073657C"/>
    <w:rsid w:val="00736612"/>
    <w:rsid w:val="00736B7B"/>
    <w:rsid w:val="00737193"/>
    <w:rsid w:val="007375C6"/>
    <w:rsid w:val="0074076F"/>
    <w:rsid w:val="0074159F"/>
    <w:rsid w:val="007421AE"/>
    <w:rsid w:val="00742E3E"/>
    <w:rsid w:val="00742FA0"/>
    <w:rsid w:val="00743129"/>
    <w:rsid w:val="00743A03"/>
    <w:rsid w:val="00743D3B"/>
    <w:rsid w:val="00744B5E"/>
    <w:rsid w:val="00744C91"/>
    <w:rsid w:val="0074555A"/>
    <w:rsid w:val="00745DE2"/>
    <w:rsid w:val="00746000"/>
    <w:rsid w:val="00746032"/>
    <w:rsid w:val="00746CD5"/>
    <w:rsid w:val="00746CFF"/>
    <w:rsid w:val="0075010E"/>
    <w:rsid w:val="007502EF"/>
    <w:rsid w:val="00751484"/>
    <w:rsid w:val="007520EE"/>
    <w:rsid w:val="0075280B"/>
    <w:rsid w:val="007536CC"/>
    <w:rsid w:val="0075414E"/>
    <w:rsid w:val="007545FB"/>
    <w:rsid w:val="00754CA8"/>
    <w:rsid w:val="00755B4E"/>
    <w:rsid w:val="00756032"/>
    <w:rsid w:val="0075609E"/>
    <w:rsid w:val="00756E33"/>
    <w:rsid w:val="00757B9A"/>
    <w:rsid w:val="00757D7B"/>
    <w:rsid w:val="007617ED"/>
    <w:rsid w:val="00761B28"/>
    <w:rsid w:val="0076222F"/>
    <w:rsid w:val="00762511"/>
    <w:rsid w:val="00763262"/>
    <w:rsid w:val="00763B13"/>
    <w:rsid w:val="0076429A"/>
    <w:rsid w:val="007642D2"/>
    <w:rsid w:val="007648E2"/>
    <w:rsid w:val="00764ED4"/>
    <w:rsid w:val="00765356"/>
    <w:rsid w:val="00765BBC"/>
    <w:rsid w:val="0076605C"/>
    <w:rsid w:val="007666AA"/>
    <w:rsid w:val="007707E3"/>
    <w:rsid w:val="00770DE0"/>
    <w:rsid w:val="00770E10"/>
    <w:rsid w:val="00771076"/>
    <w:rsid w:val="00771B89"/>
    <w:rsid w:val="00771C88"/>
    <w:rsid w:val="00772745"/>
    <w:rsid w:val="00772A01"/>
    <w:rsid w:val="00773F9C"/>
    <w:rsid w:val="00774213"/>
    <w:rsid w:val="0077439F"/>
    <w:rsid w:val="00774E77"/>
    <w:rsid w:val="00774F6B"/>
    <w:rsid w:val="00775014"/>
    <w:rsid w:val="007773C5"/>
    <w:rsid w:val="00777B5D"/>
    <w:rsid w:val="00777BFA"/>
    <w:rsid w:val="00777D48"/>
    <w:rsid w:val="00780482"/>
    <w:rsid w:val="00780972"/>
    <w:rsid w:val="00780E7B"/>
    <w:rsid w:val="00780FA6"/>
    <w:rsid w:val="00781017"/>
    <w:rsid w:val="00781596"/>
    <w:rsid w:val="0078189C"/>
    <w:rsid w:val="007819CA"/>
    <w:rsid w:val="00781A98"/>
    <w:rsid w:val="00781C7F"/>
    <w:rsid w:val="00781E84"/>
    <w:rsid w:val="00782F46"/>
    <w:rsid w:val="007832E2"/>
    <w:rsid w:val="00785B14"/>
    <w:rsid w:val="00785B7B"/>
    <w:rsid w:val="00786325"/>
    <w:rsid w:val="0078632D"/>
    <w:rsid w:val="007864B2"/>
    <w:rsid w:val="007865A0"/>
    <w:rsid w:val="00786812"/>
    <w:rsid w:val="007869D8"/>
    <w:rsid w:val="00786B73"/>
    <w:rsid w:val="00787819"/>
    <w:rsid w:val="00787906"/>
    <w:rsid w:val="00787CC6"/>
    <w:rsid w:val="00790893"/>
    <w:rsid w:val="00790C45"/>
    <w:rsid w:val="00791A86"/>
    <w:rsid w:val="00791B77"/>
    <w:rsid w:val="00791BB7"/>
    <w:rsid w:val="0079214F"/>
    <w:rsid w:val="00792277"/>
    <w:rsid w:val="00792BD8"/>
    <w:rsid w:val="00793EA4"/>
    <w:rsid w:val="00794812"/>
    <w:rsid w:val="00794C82"/>
    <w:rsid w:val="00794D86"/>
    <w:rsid w:val="00794E74"/>
    <w:rsid w:val="0079521C"/>
    <w:rsid w:val="00795A97"/>
    <w:rsid w:val="0079646D"/>
    <w:rsid w:val="00796A15"/>
    <w:rsid w:val="007979B0"/>
    <w:rsid w:val="00797CE2"/>
    <w:rsid w:val="007A13DB"/>
    <w:rsid w:val="007A17A4"/>
    <w:rsid w:val="007A2683"/>
    <w:rsid w:val="007A2C08"/>
    <w:rsid w:val="007A3380"/>
    <w:rsid w:val="007A340E"/>
    <w:rsid w:val="007A3909"/>
    <w:rsid w:val="007A3DDB"/>
    <w:rsid w:val="007A4A50"/>
    <w:rsid w:val="007A4FEB"/>
    <w:rsid w:val="007A50A6"/>
    <w:rsid w:val="007A589E"/>
    <w:rsid w:val="007A5D09"/>
    <w:rsid w:val="007A5FF4"/>
    <w:rsid w:val="007A6C56"/>
    <w:rsid w:val="007A70A5"/>
    <w:rsid w:val="007A783F"/>
    <w:rsid w:val="007A7848"/>
    <w:rsid w:val="007B0046"/>
    <w:rsid w:val="007B0A31"/>
    <w:rsid w:val="007B0D18"/>
    <w:rsid w:val="007B10B4"/>
    <w:rsid w:val="007B161E"/>
    <w:rsid w:val="007B18D3"/>
    <w:rsid w:val="007B1C9C"/>
    <w:rsid w:val="007B2708"/>
    <w:rsid w:val="007B3592"/>
    <w:rsid w:val="007B38EE"/>
    <w:rsid w:val="007B3C83"/>
    <w:rsid w:val="007B5FD4"/>
    <w:rsid w:val="007B6FEB"/>
    <w:rsid w:val="007B772F"/>
    <w:rsid w:val="007B77CD"/>
    <w:rsid w:val="007C0480"/>
    <w:rsid w:val="007C0909"/>
    <w:rsid w:val="007C197E"/>
    <w:rsid w:val="007C254C"/>
    <w:rsid w:val="007C2895"/>
    <w:rsid w:val="007C2CDB"/>
    <w:rsid w:val="007C3124"/>
    <w:rsid w:val="007C3EC7"/>
    <w:rsid w:val="007C3F40"/>
    <w:rsid w:val="007C3F66"/>
    <w:rsid w:val="007C4034"/>
    <w:rsid w:val="007C5520"/>
    <w:rsid w:val="007C5647"/>
    <w:rsid w:val="007C5914"/>
    <w:rsid w:val="007C6AA4"/>
    <w:rsid w:val="007C6BEC"/>
    <w:rsid w:val="007C6D51"/>
    <w:rsid w:val="007C7966"/>
    <w:rsid w:val="007C7983"/>
    <w:rsid w:val="007D0E82"/>
    <w:rsid w:val="007D0EE4"/>
    <w:rsid w:val="007D1094"/>
    <w:rsid w:val="007D113B"/>
    <w:rsid w:val="007D19BE"/>
    <w:rsid w:val="007D250D"/>
    <w:rsid w:val="007D2983"/>
    <w:rsid w:val="007D381B"/>
    <w:rsid w:val="007D415A"/>
    <w:rsid w:val="007D4200"/>
    <w:rsid w:val="007D47D3"/>
    <w:rsid w:val="007D485A"/>
    <w:rsid w:val="007D5B1F"/>
    <w:rsid w:val="007D5B90"/>
    <w:rsid w:val="007D6961"/>
    <w:rsid w:val="007D6DA9"/>
    <w:rsid w:val="007D6E94"/>
    <w:rsid w:val="007D75EF"/>
    <w:rsid w:val="007D76D1"/>
    <w:rsid w:val="007D7EDF"/>
    <w:rsid w:val="007E02C7"/>
    <w:rsid w:val="007E150C"/>
    <w:rsid w:val="007E2344"/>
    <w:rsid w:val="007E248C"/>
    <w:rsid w:val="007E2BCE"/>
    <w:rsid w:val="007E2E66"/>
    <w:rsid w:val="007E3133"/>
    <w:rsid w:val="007E36F4"/>
    <w:rsid w:val="007E39F3"/>
    <w:rsid w:val="007E3A1A"/>
    <w:rsid w:val="007E406B"/>
    <w:rsid w:val="007E4451"/>
    <w:rsid w:val="007E4A29"/>
    <w:rsid w:val="007E4D57"/>
    <w:rsid w:val="007E5E3D"/>
    <w:rsid w:val="007E60AF"/>
    <w:rsid w:val="007E6C5B"/>
    <w:rsid w:val="007F072E"/>
    <w:rsid w:val="007F0AEC"/>
    <w:rsid w:val="007F0C66"/>
    <w:rsid w:val="007F0E2E"/>
    <w:rsid w:val="007F1085"/>
    <w:rsid w:val="007F413E"/>
    <w:rsid w:val="007F43BE"/>
    <w:rsid w:val="007F51FB"/>
    <w:rsid w:val="007F53B7"/>
    <w:rsid w:val="007F57E7"/>
    <w:rsid w:val="007F5B26"/>
    <w:rsid w:val="007F5C77"/>
    <w:rsid w:val="007F660B"/>
    <w:rsid w:val="007F6805"/>
    <w:rsid w:val="007F6A42"/>
    <w:rsid w:val="007F6B77"/>
    <w:rsid w:val="007F715F"/>
    <w:rsid w:val="007F7B28"/>
    <w:rsid w:val="00800D4D"/>
    <w:rsid w:val="0080199F"/>
    <w:rsid w:val="00801A8A"/>
    <w:rsid w:val="00801BC7"/>
    <w:rsid w:val="0080219E"/>
    <w:rsid w:val="008028D6"/>
    <w:rsid w:val="00802B1A"/>
    <w:rsid w:val="00802F6B"/>
    <w:rsid w:val="00803641"/>
    <w:rsid w:val="008040E6"/>
    <w:rsid w:val="0080480A"/>
    <w:rsid w:val="00804B7F"/>
    <w:rsid w:val="00804DB2"/>
    <w:rsid w:val="0080505A"/>
    <w:rsid w:val="00805857"/>
    <w:rsid w:val="00806A00"/>
    <w:rsid w:val="00806BEF"/>
    <w:rsid w:val="00807133"/>
    <w:rsid w:val="0080752A"/>
    <w:rsid w:val="00807674"/>
    <w:rsid w:val="00807748"/>
    <w:rsid w:val="00810E7B"/>
    <w:rsid w:val="00811AAC"/>
    <w:rsid w:val="00812866"/>
    <w:rsid w:val="00812DC9"/>
    <w:rsid w:val="00813301"/>
    <w:rsid w:val="008135E0"/>
    <w:rsid w:val="00813B98"/>
    <w:rsid w:val="008140AA"/>
    <w:rsid w:val="00814838"/>
    <w:rsid w:val="00815B65"/>
    <w:rsid w:val="008160FC"/>
    <w:rsid w:val="00816B51"/>
    <w:rsid w:val="0081726B"/>
    <w:rsid w:val="00817571"/>
    <w:rsid w:val="00817965"/>
    <w:rsid w:val="00817BDB"/>
    <w:rsid w:val="00817F98"/>
    <w:rsid w:val="008204D8"/>
    <w:rsid w:val="008211FB"/>
    <w:rsid w:val="00821493"/>
    <w:rsid w:val="008217CD"/>
    <w:rsid w:val="008221F9"/>
    <w:rsid w:val="00822A1F"/>
    <w:rsid w:val="008231B4"/>
    <w:rsid w:val="00824384"/>
    <w:rsid w:val="00824656"/>
    <w:rsid w:val="00824810"/>
    <w:rsid w:val="00824868"/>
    <w:rsid w:val="008249BC"/>
    <w:rsid w:val="00826318"/>
    <w:rsid w:val="00826BB1"/>
    <w:rsid w:val="00827654"/>
    <w:rsid w:val="00827FAC"/>
    <w:rsid w:val="00830150"/>
    <w:rsid w:val="00831339"/>
    <w:rsid w:val="00831DEE"/>
    <w:rsid w:val="008320A6"/>
    <w:rsid w:val="00832894"/>
    <w:rsid w:val="008328DA"/>
    <w:rsid w:val="00832FC3"/>
    <w:rsid w:val="0083317D"/>
    <w:rsid w:val="0083383A"/>
    <w:rsid w:val="00833EAD"/>
    <w:rsid w:val="008340CF"/>
    <w:rsid w:val="008343AA"/>
    <w:rsid w:val="00834F9F"/>
    <w:rsid w:val="00835936"/>
    <w:rsid w:val="00835E8D"/>
    <w:rsid w:val="0083634C"/>
    <w:rsid w:val="008363D4"/>
    <w:rsid w:val="0083739F"/>
    <w:rsid w:val="00837CFF"/>
    <w:rsid w:val="00840209"/>
    <w:rsid w:val="008402BC"/>
    <w:rsid w:val="008402D8"/>
    <w:rsid w:val="00840B94"/>
    <w:rsid w:val="00840D65"/>
    <w:rsid w:val="0084131C"/>
    <w:rsid w:val="008413C0"/>
    <w:rsid w:val="008414A1"/>
    <w:rsid w:val="00841520"/>
    <w:rsid w:val="0084166B"/>
    <w:rsid w:val="008417B1"/>
    <w:rsid w:val="008419C8"/>
    <w:rsid w:val="00841B17"/>
    <w:rsid w:val="008421F1"/>
    <w:rsid w:val="008425CC"/>
    <w:rsid w:val="008426FE"/>
    <w:rsid w:val="0084273B"/>
    <w:rsid w:val="008428BC"/>
    <w:rsid w:val="00842CC7"/>
    <w:rsid w:val="00842DB1"/>
    <w:rsid w:val="008436D6"/>
    <w:rsid w:val="00843712"/>
    <w:rsid w:val="00843783"/>
    <w:rsid w:val="00844958"/>
    <w:rsid w:val="00844F41"/>
    <w:rsid w:val="00845089"/>
    <w:rsid w:val="00845653"/>
    <w:rsid w:val="00845A6F"/>
    <w:rsid w:val="008462D5"/>
    <w:rsid w:val="008468D9"/>
    <w:rsid w:val="00846B30"/>
    <w:rsid w:val="00847C0A"/>
    <w:rsid w:val="008500C2"/>
    <w:rsid w:val="008501B2"/>
    <w:rsid w:val="008517F4"/>
    <w:rsid w:val="00851807"/>
    <w:rsid w:val="00851DDB"/>
    <w:rsid w:val="00852A52"/>
    <w:rsid w:val="00852C08"/>
    <w:rsid w:val="00852F38"/>
    <w:rsid w:val="00853274"/>
    <w:rsid w:val="00853402"/>
    <w:rsid w:val="00854177"/>
    <w:rsid w:val="00854484"/>
    <w:rsid w:val="008544F1"/>
    <w:rsid w:val="00854509"/>
    <w:rsid w:val="008545F2"/>
    <w:rsid w:val="008554B2"/>
    <w:rsid w:val="00855927"/>
    <w:rsid w:val="00855FE2"/>
    <w:rsid w:val="00856D86"/>
    <w:rsid w:val="008572BF"/>
    <w:rsid w:val="00857355"/>
    <w:rsid w:val="008576D6"/>
    <w:rsid w:val="00857B01"/>
    <w:rsid w:val="008605CA"/>
    <w:rsid w:val="008609DF"/>
    <w:rsid w:val="00860D39"/>
    <w:rsid w:val="008611AC"/>
    <w:rsid w:val="0086139D"/>
    <w:rsid w:val="00861DF3"/>
    <w:rsid w:val="00861FBE"/>
    <w:rsid w:val="008620D0"/>
    <w:rsid w:val="00862A45"/>
    <w:rsid w:val="00862CD2"/>
    <w:rsid w:val="00862D1B"/>
    <w:rsid w:val="00862DB1"/>
    <w:rsid w:val="00863326"/>
    <w:rsid w:val="00865199"/>
    <w:rsid w:val="0086528F"/>
    <w:rsid w:val="008654A7"/>
    <w:rsid w:val="0086576F"/>
    <w:rsid w:val="00866642"/>
    <w:rsid w:val="008666E8"/>
    <w:rsid w:val="00866E8D"/>
    <w:rsid w:val="008672CE"/>
    <w:rsid w:val="00867A1A"/>
    <w:rsid w:val="008703D5"/>
    <w:rsid w:val="008709BC"/>
    <w:rsid w:val="00870CFC"/>
    <w:rsid w:val="00870E0E"/>
    <w:rsid w:val="00870EE3"/>
    <w:rsid w:val="008714DB"/>
    <w:rsid w:val="0087176D"/>
    <w:rsid w:val="008717A9"/>
    <w:rsid w:val="00871913"/>
    <w:rsid w:val="00871DE8"/>
    <w:rsid w:val="00871EE5"/>
    <w:rsid w:val="00872049"/>
    <w:rsid w:val="00872077"/>
    <w:rsid w:val="0087230D"/>
    <w:rsid w:val="00872AE1"/>
    <w:rsid w:val="008732BE"/>
    <w:rsid w:val="00873EE8"/>
    <w:rsid w:val="0087419F"/>
    <w:rsid w:val="008743DA"/>
    <w:rsid w:val="00875BC2"/>
    <w:rsid w:val="0087652C"/>
    <w:rsid w:val="0087738A"/>
    <w:rsid w:val="00880A5A"/>
    <w:rsid w:val="008810D2"/>
    <w:rsid w:val="00881244"/>
    <w:rsid w:val="00881958"/>
    <w:rsid w:val="00881D13"/>
    <w:rsid w:val="00882F46"/>
    <w:rsid w:val="008832C9"/>
    <w:rsid w:val="00883724"/>
    <w:rsid w:val="00883BBC"/>
    <w:rsid w:val="00883E45"/>
    <w:rsid w:val="008845A4"/>
    <w:rsid w:val="008847D7"/>
    <w:rsid w:val="00884DD6"/>
    <w:rsid w:val="00885834"/>
    <w:rsid w:val="008859DE"/>
    <w:rsid w:val="00885AAB"/>
    <w:rsid w:val="0088672F"/>
    <w:rsid w:val="0088732F"/>
    <w:rsid w:val="00887730"/>
    <w:rsid w:val="00887982"/>
    <w:rsid w:val="00887B13"/>
    <w:rsid w:val="00887B8B"/>
    <w:rsid w:val="00887E84"/>
    <w:rsid w:val="00887F02"/>
    <w:rsid w:val="008911E7"/>
    <w:rsid w:val="008921ED"/>
    <w:rsid w:val="008925B4"/>
    <w:rsid w:val="0089263E"/>
    <w:rsid w:val="00892818"/>
    <w:rsid w:val="00892AE1"/>
    <w:rsid w:val="008930A1"/>
    <w:rsid w:val="00893AE6"/>
    <w:rsid w:val="00893D00"/>
    <w:rsid w:val="008953AE"/>
    <w:rsid w:val="00895821"/>
    <w:rsid w:val="00895BAE"/>
    <w:rsid w:val="008965E4"/>
    <w:rsid w:val="008966EE"/>
    <w:rsid w:val="00896939"/>
    <w:rsid w:val="00896B0B"/>
    <w:rsid w:val="0089713D"/>
    <w:rsid w:val="00897DDE"/>
    <w:rsid w:val="008A0013"/>
    <w:rsid w:val="008A0699"/>
    <w:rsid w:val="008A0732"/>
    <w:rsid w:val="008A13A1"/>
    <w:rsid w:val="008A14CE"/>
    <w:rsid w:val="008A226D"/>
    <w:rsid w:val="008A2580"/>
    <w:rsid w:val="008A25FA"/>
    <w:rsid w:val="008A3011"/>
    <w:rsid w:val="008A41BD"/>
    <w:rsid w:val="008A429C"/>
    <w:rsid w:val="008A4A25"/>
    <w:rsid w:val="008A4E37"/>
    <w:rsid w:val="008A4F03"/>
    <w:rsid w:val="008A6AEF"/>
    <w:rsid w:val="008A6E93"/>
    <w:rsid w:val="008A6EDB"/>
    <w:rsid w:val="008A7355"/>
    <w:rsid w:val="008A74A1"/>
    <w:rsid w:val="008A764C"/>
    <w:rsid w:val="008A7756"/>
    <w:rsid w:val="008A7C2F"/>
    <w:rsid w:val="008B0253"/>
    <w:rsid w:val="008B24CD"/>
    <w:rsid w:val="008B35A4"/>
    <w:rsid w:val="008B3849"/>
    <w:rsid w:val="008B4016"/>
    <w:rsid w:val="008B5197"/>
    <w:rsid w:val="008B521D"/>
    <w:rsid w:val="008B5739"/>
    <w:rsid w:val="008B57C7"/>
    <w:rsid w:val="008B618E"/>
    <w:rsid w:val="008B650D"/>
    <w:rsid w:val="008B6AE7"/>
    <w:rsid w:val="008C12DE"/>
    <w:rsid w:val="008C1F88"/>
    <w:rsid w:val="008C2020"/>
    <w:rsid w:val="008C35A8"/>
    <w:rsid w:val="008C3F5D"/>
    <w:rsid w:val="008C414E"/>
    <w:rsid w:val="008C4402"/>
    <w:rsid w:val="008C48FB"/>
    <w:rsid w:val="008C51EC"/>
    <w:rsid w:val="008C5F36"/>
    <w:rsid w:val="008C6125"/>
    <w:rsid w:val="008C657B"/>
    <w:rsid w:val="008C694A"/>
    <w:rsid w:val="008C7B59"/>
    <w:rsid w:val="008C7C53"/>
    <w:rsid w:val="008D04DE"/>
    <w:rsid w:val="008D0776"/>
    <w:rsid w:val="008D0C19"/>
    <w:rsid w:val="008D10C7"/>
    <w:rsid w:val="008D1145"/>
    <w:rsid w:val="008D170D"/>
    <w:rsid w:val="008D24EF"/>
    <w:rsid w:val="008D2C45"/>
    <w:rsid w:val="008D3091"/>
    <w:rsid w:val="008D3A50"/>
    <w:rsid w:val="008D3B04"/>
    <w:rsid w:val="008D3E42"/>
    <w:rsid w:val="008D44ED"/>
    <w:rsid w:val="008D5104"/>
    <w:rsid w:val="008D547E"/>
    <w:rsid w:val="008D573C"/>
    <w:rsid w:val="008D580D"/>
    <w:rsid w:val="008D611E"/>
    <w:rsid w:val="008D6603"/>
    <w:rsid w:val="008D6C04"/>
    <w:rsid w:val="008D7861"/>
    <w:rsid w:val="008D7F43"/>
    <w:rsid w:val="008E050D"/>
    <w:rsid w:val="008E0527"/>
    <w:rsid w:val="008E1EAA"/>
    <w:rsid w:val="008E2012"/>
    <w:rsid w:val="008E230B"/>
    <w:rsid w:val="008E2612"/>
    <w:rsid w:val="008E2BC7"/>
    <w:rsid w:val="008E3031"/>
    <w:rsid w:val="008E35A6"/>
    <w:rsid w:val="008E3A56"/>
    <w:rsid w:val="008E4156"/>
    <w:rsid w:val="008E4174"/>
    <w:rsid w:val="008E4AE6"/>
    <w:rsid w:val="008E4CED"/>
    <w:rsid w:val="008E50A0"/>
    <w:rsid w:val="008E58D8"/>
    <w:rsid w:val="008E5F38"/>
    <w:rsid w:val="008E68A7"/>
    <w:rsid w:val="008E6CFE"/>
    <w:rsid w:val="008F011E"/>
    <w:rsid w:val="008F0196"/>
    <w:rsid w:val="008F01A7"/>
    <w:rsid w:val="008F07AD"/>
    <w:rsid w:val="008F0D37"/>
    <w:rsid w:val="008F1B0C"/>
    <w:rsid w:val="008F1B7C"/>
    <w:rsid w:val="008F2490"/>
    <w:rsid w:val="008F2B66"/>
    <w:rsid w:val="008F41C6"/>
    <w:rsid w:val="008F4306"/>
    <w:rsid w:val="008F45E7"/>
    <w:rsid w:val="008F464F"/>
    <w:rsid w:val="008F4885"/>
    <w:rsid w:val="008F4B5B"/>
    <w:rsid w:val="008F502F"/>
    <w:rsid w:val="008F5257"/>
    <w:rsid w:val="008F6B40"/>
    <w:rsid w:val="0090134E"/>
    <w:rsid w:val="0090163C"/>
    <w:rsid w:val="00903028"/>
    <w:rsid w:val="00903531"/>
    <w:rsid w:val="0090360A"/>
    <w:rsid w:val="0090392B"/>
    <w:rsid w:val="00904BE5"/>
    <w:rsid w:val="00905010"/>
    <w:rsid w:val="0090711E"/>
    <w:rsid w:val="00907893"/>
    <w:rsid w:val="00907B63"/>
    <w:rsid w:val="0091033E"/>
    <w:rsid w:val="00910687"/>
    <w:rsid w:val="009115D7"/>
    <w:rsid w:val="009115EA"/>
    <w:rsid w:val="00911F75"/>
    <w:rsid w:val="00913A02"/>
    <w:rsid w:val="009141B2"/>
    <w:rsid w:val="0091438D"/>
    <w:rsid w:val="0091490A"/>
    <w:rsid w:val="009153EE"/>
    <w:rsid w:val="0091599B"/>
    <w:rsid w:val="00915C83"/>
    <w:rsid w:val="009163BD"/>
    <w:rsid w:val="009164D9"/>
    <w:rsid w:val="0091671E"/>
    <w:rsid w:val="0091768F"/>
    <w:rsid w:val="00917742"/>
    <w:rsid w:val="0092068F"/>
    <w:rsid w:val="00920CAB"/>
    <w:rsid w:val="00921E6E"/>
    <w:rsid w:val="00922C00"/>
    <w:rsid w:val="009245DE"/>
    <w:rsid w:val="00925B09"/>
    <w:rsid w:val="00925BCB"/>
    <w:rsid w:val="009273C9"/>
    <w:rsid w:val="00930C72"/>
    <w:rsid w:val="00931B76"/>
    <w:rsid w:val="00932133"/>
    <w:rsid w:val="0093238B"/>
    <w:rsid w:val="00933547"/>
    <w:rsid w:val="00933795"/>
    <w:rsid w:val="00933B88"/>
    <w:rsid w:val="00933D31"/>
    <w:rsid w:val="009348B0"/>
    <w:rsid w:val="009360A2"/>
    <w:rsid w:val="009364CB"/>
    <w:rsid w:val="009367AC"/>
    <w:rsid w:val="00937851"/>
    <w:rsid w:val="00937A2D"/>
    <w:rsid w:val="00941CFF"/>
    <w:rsid w:val="00941F6C"/>
    <w:rsid w:val="0094237C"/>
    <w:rsid w:val="009426CC"/>
    <w:rsid w:val="00942B81"/>
    <w:rsid w:val="00943094"/>
    <w:rsid w:val="00943188"/>
    <w:rsid w:val="0094387A"/>
    <w:rsid w:val="00944545"/>
    <w:rsid w:val="00944576"/>
    <w:rsid w:val="009446A4"/>
    <w:rsid w:val="0094517F"/>
    <w:rsid w:val="009454C9"/>
    <w:rsid w:val="00945502"/>
    <w:rsid w:val="00945AB7"/>
    <w:rsid w:val="00946093"/>
    <w:rsid w:val="00946EC7"/>
    <w:rsid w:val="009478DD"/>
    <w:rsid w:val="009508D9"/>
    <w:rsid w:val="00950B5A"/>
    <w:rsid w:val="00951BAE"/>
    <w:rsid w:val="009533D0"/>
    <w:rsid w:val="00953514"/>
    <w:rsid w:val="00953B95"/>
    <w:rsid w:val="00954362"/>
    <w:rsid w:val="00954DB0"/>
    <w:rsid w:val="0095572F"/>
    <w:rsid w:val="009559F6"/>
    <w:rsid w:val="00955FF1"/>
    <w:rsid w:val="00956614"/>
    <w:rsid w:val="00956836"/>
    <w:rsid w:val="00956EF2"/>
    <w:rsid w:val="00957FE9"/>
    <w:rsid w:val="00960399"/>
    <w:rsid w:val="0096098F"/>
    <w:rsid w:val="0096120B"/>
    <w:rsid w:val="0096135F"/>
    <w:rsid w:val="00961A66"/>
    <w:rsid w:val="009624AD"/>
    <w:rsid w:val="00962796"/>
    <w:rsid w:val="009629D0"/>
    <w:rsid w:val="00962FA2"/>
    <w:rsid w:val="00963041"/>
    <w:rsid w:val="00963106"/>
    <w:rsid w:val="00964761"/>
    <w:rsid w:val="00965772"/>
    <w:rsid w:val="00965A2B"/>
    <w:rsid w:val="00966F73"/>
    <w:rsid w:val="009672F9"/>
    <w:rsid w:val="00967778"/>
    <w:rsid w:val="0097014D"/>
    <w:rsid w:val="0097081B"/>
    <w:rsid w:val="00970F25"/>
    <w:rsid w:val="00970F32"/>
    <w:rsid w:val="009715C4"/>
    <w:rsid w:val="00971772"/>
    <w:rsid w:val="00971AFF"/>
    <w:rsid w:val="00971B9C"/>
    <w:rsid w:val="0097201A"/>
    <w:rsid w:val="009724B4"/>
    <w:rsid w:val="009731B1"/>
    <w:rsid w:val="00973E43"/>
    <w:rsid w:val="00974194"/>
    <w:rsid w:val="00974F19"/>
    <w:rsid w:val="009754E7"/>
    <w:rsid w:val="00975CE8"/>
    <w:rsid w:val="00976521"/>
    <w:rsid w:val="009765D8"/>
    <w:rsid w:val="00976C82"/>
    <w:rsid w:val="00977C46"/>
    <w:rsid w:val="009804FE"/>
    <w:rsid w:val="00981761"/>
    <w:rsid w:val="00981D2E"/>
    <w:rsid w:val="00981D67"/>
    <w:rsid w:val="00981F55"/>
    <w:rsid w:val="009821E6"/>
    <w:rsid w:val="00982273"/>
    <w:rsid w:val="009828A2"/>
    <w:rsid w:val="009828F2"/>
    <w:rsid w:val="00983257"/>
    <w:rsid w:val="00983489"/>
    <w:rsid w:val="009834B6"/>
    <w:rsid w:val="00983AD7"/>
    <w:rsid w:val="009849F5"/>
    <w:rsid w:val="00986C63"/>
    <w:rsid w:val="00986FE7"/>
    <w:rsid w:val="00987002"/>
    <w:rsid w:val="00987504"/>
    <w:rsid w:val="00987665"/>
    <w:rsid w:val="00987D15"/>
    <w:rsid w:val="00990805"/>
    <w:rsid w:val="00991B3E"/>
    <w:rsid w:val="00992C10"/>
    <w:rsid w:val="00993580"/>
    <w:rsid w:val="0099402E"/>
    <w:rsid w:val="00994D2A"/>
    <w:rsid w:val="00995233"/>
    <w:rsid w:val="0099669C"/>
    <w:rsid w:val="00996DB1"/>
    <w:rsid w:val="00997295"/>
    <w:rsid w:val="009978F0"/>
    <w:rsid w:val="00997957"/>
    <w:rsid w:val="009A004D"/>
    <w:rsid w:val="009A0A42"/>
    <w:rsid w:val="009A0DBD"/>
    <w:rsid w:val="009A1133"/>
    <w:rsid w:val="009A187A"/>
    <w:rsid w:val="009A1DDA"/>
    <w:rsid w:val="009A25F5"/>
    <w:rsid w:val="009A2C17"/>
    <w:rsid w:val="009A3AE7"/>
    <w:rsid w:val="009A3C06"/>
    <w:rsid w:val="009A4109"/>
    <w:rsid w:val="009A4947"/>
    <w:rsid w:val="009A5D7A"/>
    <w:rsid w:val="009A6692"/>
    <w:rsid w:val="009A72E1"/>
    <w:rsid w:val="009A7DB4"/>
    <w:rsid w:val="009B006D"/>
    <w:rsid w:val="009B0764"/>
    <w:rsid w:val="009B09DB"/>
    <w:rsid w:val="009B114D"/>
    <w:rsid w:val="009B1181"/>
    <w:rsid w:val="009B230D"/>
    <w:rsid w:val="009B3013"/>
    <w:rsid w:val="009B3065"/>
    <w:rsid w:val="009B3380"/>
    <w:rsid w:val="009B377E"/>
    <w:rsid w:val="009B5276"/>
    <w:rsid w:val="009B5925"/>
    <w:rsid w:val="009B69FD"/>
    <w:rsid w:val="009B7402"/>
    <w:rsid w:val="009B74E3"/>
    <w:rsid w:val="009B7C39"/>
    <w:rsid w:val="009C026C"/>
    <w:rsid w:val="009C1419"/>
    <w:rsid w:val="009C1D91"/>
    <w:rsid w:val="009C1E4D"/>
    <w:rsid w:val="009C1E81"/>
    <w:rsid w:val="009C20E3"/>
    <w:rsid w:val="009C293F"/>
    <w:rsid w:val="009C3048"/>
    <w:rsid w:val="009C3AB3"/>
    <w:rsid w:val="009C3C05"/>
    <w:rsid w:val="009C3C8E"/>
    <w:rsid w:val="009C488F"/>
    <w:rsid w:val="009C51FC"/>
    <w:rsid w:val="009C5300"/>
    <w:rsid w:val="009C5DFA"/>
    <w:rsid w:val="009C7CE2"/>
    <w:rsid w:val="009D097B"/>
    <w:rsid w:val="009D1664"/>
    <w:rsid w:val="009D2986"/>
    <w:rsid w:val="009D31C0"/>
    <w:rsid w:val="009D3316"/>
    <w:rsid w:val="009D34D8"/>
    <w:rsid w:val="009D369B"/>
    <w:rsid w:val="009D6376"/>
    <w:rsid w:val="009D6A9F"/>
    <w:rsid w:val="009D7AA5"/>
    <w:rsid w:val="009D7AE8"/>
    <w:rsid w:val="009D7B4F"/>
    <w:rsid w:val="009E050C"/>
    <w:rsid w:val="009E055C"/>
    <w:rsid w:val="009E1286"/>
    <w:rsid w:val="009E1B54"/>
    <w:rsid w:val="009E1E08"/>
    <w:rsid w:val="009E22AB"/>
    <w:rsid w:val="009E2E53"/>
    <w:rsid w:val="009E2E7C"/>
    <w:rsid w:val="009E2FB5"/>
    <w:rsid w:val="009E3426"/>
    <w:rsid w:val="009E346D"/>
    <w:rsid w:val="009E36AF"/>
    <w:rsid w:val="009E3B6D"/>
    <w:rsid w:val="009E3FC9"/>
    <w:rsid w:val="009E541C"/>
    <w:rsid w:val="009E5613"/>
    <w:rsid w:val="009E722F"/>
    <w:rsid w:val="009F0142"/>
    <w:rsid w:val="009F0574"/>
    <w:rsid w:val="009F0C2A"/>
    <w:rsid w:val="009F0ED7"/>
    <w:rsid w:val="009F1347"/>
    <w:rsid w:val="009F1500"/>
    <w:rsid w:val="009F23AB"/>
    <w:rsid w:val="009F37D3"/>
    <w:rsid w:val="009F3A65"/>
    <w:rsid w:val="009F3AE1"/>
    <w:rsid w:val="009F3BAB"/>
    <w:rsid w:val="009F48E2"/>
    <w:rsid w:val="009F4E13"/>
    <w:rsid w:val="009F5727"/>
    <w:rsid w:val="009F58C4"/>
    <w:rsid w:val="009F5B72"/>
    <w:rsid w:val="009F5D15"/>
    <w:rsid w:val="009F610A"/>
    <w:rsid w:val="009F62FA"/>
    <w:rsid w:val="009F75BA"/>
    <w:rsid w:val="009F7DB2"/>
    <w:rsid w:val="00A007DD"/>
    <w:rsid w:val="00A0099F"/>
    <w:rsid w:val="00A0129A"/>
    <w:rsid w:val="00A01625"/>
    <w:rsid w:val="00A019A6"/>
    <w:rsid w:val="00A0229C"/>
    <w:rsid w:val="00A02C9B"/>
    <w:rsid w:val="00A036E1"/>
    <w:rsid w:val="00A03CC1"/>
    <w:rsid w:val="00A03EE8"/>
    <w:rsid w:val="00A04039"/>
    <w:rsid w:val="00A0404F"/>
    <w:rsid w:val="00A04D9D"/>
    <w:rsid w:val="00A04E3A"/>
    <w:rsid w:val="00A05061"/>
    <w:rsid w:val="00A05231"/>
    <w:rsid w:val="00A05817"/>
    <w:rsid w:val="00A05A6E"/>
    <w:rsid w:val="00A069AD"/>
    <w:rsid w:val="00A06E64"/>
    <w:rsid w:val="00A070F4"/>
    <w:rsid w:val="00A07EBB"/>
    <w:rsid w:val="00A10356"/>
    <w:rsid w:val="00A103E9"/>
    <w:rsid w:val="00A115BF"/>
    <w:rsid w:val="00A1242F"/>
    <w:rsid w:val="00A124FE"/>
    <w:rsid w:val="00A12B91"/>
    <w:rsid w:val="00A12F03"/>
    <w:rsid w:val="00A13631"/>
    <w:rsid w:val="00A140FC"/>
    <w:rsid w:val="00A14106"/>
    <w:rsid w:val="00A1521E"/>
    <w:rsid w:val="00A152A7"/>
    <w:rsid w:val="00A1547F"/>
    <w:rsid w:val="00A17B17"/>
    <w:rsid w:val="00A17D7F"/>
    <w:rsid w:val="00A17D9F"/>
    <w:rsid w:val="00A2046F"/>
    <w:rsid w:val="00A20A03"/>
    <w:rsid w:val="00A20F1C"/>
    <w:rsid w:val="00A21115"/>
    <w:rsid w:val="00A21250"/>
    <w:rsid w:val="00A21628"/>
    <w:rsid w:val="00A21D19"/>
    <w:rsid w:val="00A226F2"/>
    <w:rsid w:val="00A22EED"/>
    <w:rsid w:val="00A2306D"/>
    <w:rsid w:val="00A233DB"/>
    <w:rsid w:val="00A23656"/>
    <w:rsid w:val="00A23946"/>
    <w:rsid w:val="00A24246"/>
    <w:rsid w:val="00A24797"/>
    <w:rsid w:val="00A24AF9"/>
    <w:rsid w:val="00A250E2"/>
    <w:rsid w:val="00A25485"/>
    <w:rsid w:val="00A25B8D"/>
    <w:rsid w:val="00A25CFD"/>
    <w:rsid w:val="00A25F6C"/>
    <w:rsid w:val="00A26080"/>
    <w:rsid w:val="00A26151"/>
    <w:rsid w:val="00A26233"/>
    <w:rsid w:val="00A2631A"/>
    <w:rsid w:val="00A263C7"/>
    <w:rsid w:val="00A26BF4"/>
    <w:rsid w:val="00A26FAF"/>
    <w:rsid w:val="00A271CF"/>
    <w:rsid w:val="00A27C65"/>
    <w:rsid w:val="00A3092A"/>
    <w:rsid w:val="00A30F54"/>
    <w:rsid w:val="00A311B6"/>
    <w:rsid w:val="00A3257B"/>
    <w:rsid w:val="00A3263E"/>
    <w:rsid w:val="00A32956"/>
    <w:rsid w:val="00A32D03"/>
    <w:rsid w:val="00A32E67"/>
    <w:rsid w:val="00A33844"/>
    <w:rsid w:val="00A348BA"/>
    <w:rsid w:val="00A348CC"/>
    <w:rsid w:val="00A34982"/>
    <w:rsid w:val="00A3508B"/>
    <w:rsid w:val="00A350D3"/>
    <w:rsid w:val="00A351B3"/>
    <w:rsid w:val="00A3591D"/>
    <w:rsid w:val="00A35B87"/>
    <w:rsid w:val="00A36060"/>
    <w:rsid w:val="00A367C4"/>
    <w:rsid w:val="00A40711"/>
    <w:rsid w:val="00A40B36"/>
    <w:rsid w:val="00A417A0"/>
    <w:rsid w:val="00A417F9"/>
    <w:rsid w:val="00A41E4E"/>
    <w:rsid w:val="00A425EB"/>
    <w:rsid w:val="00A42E0A"/>
    <w:rsid w:val="00A43280"/>
    <w:rsid w:val="00A44D88"/>
    <w:rsid w:val="00A454E4"/>
    <w:rsid w:val="00A45FA0"/>
    <w:rsid w:val="00A46796"/>
    <w:rsid w:val="00A46D05"/>
    <w:rsid w:val="00A47011"/>
    <w:rsid w:val="00A47C8C"/>
    <w:rsid w:val="00A5234C"/>
    <w:rsid w:val="00A52F5F"/>
    <w:rsid w:val="00A531EE"/>
    <w:rsid w:val="00A54268"/>
    <w:rsid w:val="00A54876"/>
    <w:rsid w:val="00A5488B"/>
    <w:rsid w:val="00A5545C"/>
    <w:rsid w:val="00A55F69"/>
    <w:rsid w:val="00A56333"/>
    <w:rsid w:val="00A5635A"/>
    <w:rsid w:val="00A57656"/>
    <w:rsid w:val="00A6088F"/>
    <w:rsid w:val="00A60B49"/>
    <w:rsid w:val="00A60CCE"/>
    <w:rsid w:val="00A61453"/>
    <w:rsid w:val="00A61563"/>
    <w:rsid w:val="00A618A3"/>
    <w:rsid w:val="00A61946"/>
    <w:rsid w:val="00A61F7B"/>
    <w:rsid w:val="00A62E55"/>
    <w:rsid w:val="00A6326C"/>
    <w:rsid w:val="00A6329B"/>
    <w:rsid w:val="00A63CB2"/>
    <w:rsid w:val="00A643F6"/>
    <w:rsid w:val="00A64D69"/>
    <w:rsid w:val="00A64F2F"/>
    <w:rsid w:val="00A65090"/>
    <w:rsid w:val="00A65123"/>
    <w:rsid w:val="00A656DF"/>
    <w:rsid w:val="00A6700E"/>
    <w:rsid w:val="00A675FD"/>
    <w:rsid w:val="00A67AD9"/>
    <w:rsid w:val="00A67CCE"/>
    <w:rsid w:val="00A70A5E"/>
    <w:rsid w:val="00A71F3C"/>
    <w:rsid w:val="00A72951"/>
    <w:rsid w:val="00A7303D"/>
    <w:rsid w:val="00A73781"/>
    <w:rsid w:val="00A737BD"/>
    <w:rsid w:val="00A73A04"/>
    <w:rsid w:val="00A754CE"/>
    <w:rsid w:val="00A76447"/>
    <w:rsid w:val="00A775C8"/>
    <w:rsid w:val="00A80B48"/>
    <w:rsid w:val="00A820F9"/>
    <w:rsid w:val="00A823F8"/>
    <w:rsid w:val="00A8257D"/>
    <w:rsid w:val="00A83562"/>
    <w:rsid w:val="00A835D1"/>
    <w:rsid w:val="00A85FB2"/>
    <w:rsid w:val="00A8636C"/>
    <w:rsid w:val="00A87023"/>
    <w:rsid w:val="00A9015B"/>
    <w:rsid w:val="00A90628"/>
    <w:rsid w:val="00A90BA9"/>
    <w:rsid w:val="00A91855"/>
    <w:rsid w:val="00A924DE"/>
    <w:rsid w:val="00A9333E"/>
    <w:rsid w:val="00A9446D"/>
    <w:rsid w:val="00A94FCF"/>
    <w:rsid w:val="00A9550C"/>
    <w:rsid w:val="00A95AE5"/>
    <w:rsid w:val="00A960FC"/>
    <w:rsid w:val="00A9664D"/>
    <w:rsid w:val="00A966D5"/>
    <w:rsid w:val="00A9675F"/>
    <w:rsid w:val="00A97081"/>
    <w:rsid w:val="00A97447"/>
    <w:rsid w:val="00A97F3F"/>
    <w:rsid w:val="00AA1016"/>
    <w:rsid w:val="00AA185F"/>
    <w:rsid w:val="00AA1BA1"/>
    <w:rsid w:val="00AA2095"/>
    <w:rsid w:val="00AA224F"/>
    <w:rsid w:val="00AA2759"/>
    <w:rsid w:val="00AA2956"/>
    <w:rsid w:val="00AA2A87"/>
    <w:rsid w:val="00AA3BD1"/>
    <w:rsid w:val="00AA3CF5"/>
    <w:rsid w:val="00AA5AA1"/>
    <w:rsid w:val="00AA6BCA"/>
    <w:rsid w:val="00AA71E7"/>
    <w:rsid w:val="00AB00A3"/>
    <w:rsid w:val="00AB01F1"/>
    <w:rsid w:val="00AB0FAD"/>
    <w:rsid w:val="00AB129B"/>
    <w:rsid w:val="00AB13DB"/>
    <w:rsid w:val="00AB1489"/>
    <w:rsid w:val="00AB1FFC"/>
    <w:rsid w:val="00AB29B2"/>
    <w:rsid w:val="00AB2C38"/>
    <w:rsid w:val="00AB3BDB"/>
    <w:rsid w:val="00AB3C41"/>
    <w:rsid w:val="00AB3FD6"/>
    <w:rsid w:val="00AB4211"/>
    <w:rsid w:val="00AB4706"/>
    <w:rsid w:val="00AB4DB3"/>
    <w:rsid w:val="00AB5035"/>
    <w:rsid w:val="00AB5308"/>
    <w:rsid w:val="00AB61DE"/>
    <w:rsid w:val="00AB629E"/>
    <w:rsid w:val="00AB7612"/>
    <w:rsid w:val="00AB77BF"/>
    <w:rsid w:val="00AC00DA"/>
    <w:rsid w:val="00AC0243"/>
    <w:rsid w:val="00AC09B6"/>
    <w:rsid w:val="00AC0B3B"/>
    <w:rsid w:val="00AC128B"/>
    <w:rsid w:val="00AC1FD3"/>
    <w:rsid w:val="00AC28D7"/>
    <w:rsid w:val="00AC312B"/>
    <w:rsid w:val="00AC3726"/>
    <w:rsid w:val="00AC38CB"/>
    <w:rsid w:val="00AC39D7"/>
    <w:rsid w:val="00AC3A1F"/>
    <w:rsid w:val="00AC3F8F"/>
    <w:rsid w:val="00AC49A1"/>
    <w:rsid w:val="00AC4BA8"/>
    <w:rsid w:val="00AC63B8"/>
    <w:rsid w:val="00AC643B"/>
    <w:rsid w:val="00AC715D"/>
    <w:rsid w:val="00AD07EC"/>
    <w:rsid w:val="00AD228B"/>
    <w:rsid w:val="00AD2392"/>
    <w:rsid w:val="00AD26F6"/>
    <w:rsid w:val="00AD3765"/>
    <w:rsid w:val="00AD378C"/>
    <w:rsid w:val="00AD3DD6"/>
    <w:rsid w:val="00AD4547"/>
    <w:rsid w:val="00AD49FA"/>
    <w:rsid w:val="00AD4AD8"/>
    <w:rsid w:val="00AD4CA9"/>
    <w:rsid w:val="00AD502D"/>
    <w:rsid w:val="00AD5D99"/>
    <w:rsid w:val="00AD5EEB"/>
    <w:rsid w:val="00AD5F6B"/>
    <w:rsid w:val="00AD664B"/>
    <w:rsid w:val="00AD6E56"/>
    <w:rsid w:val="00AD70BE"/>
    <w:rsid w:val="00AD71A9"/>
    <w:rsid w:val="00AD7938"/>
    <w:rsid w:val="00AE0433"/>
    <w:rsid w:val="00AE06F7"/>
    <w:rsid w:val="00AE122F"/>
    <w:rsid w:val="00AE1E89"/>
    <w:rsid w:val="00AE247F"/>
    <w:rsid w:val="00AE27A0"/>
    <w:rsid w:val="00AE2912"/>
    <w:rsid w:val="00AE2A12"/>
    <w:rsid w:val="00AE2A61"/>
    <w:rsid w:val="00AE3493"/>
    <w:rsid w:val="00AE3D06"/>
    <w:rsid w:val="00AE616A"/>
    <w:rsid w:val="00AE6234"/>
    <w:rsid w:val="00AE632B"/>
    <w:rsid w:val="00AE6F60"/>
    <w:rsid w:val="00AF0524"/>
    <w:rsid w:val="00AF062B"/>
    <w:rsid w:val="00AF0B93"/>
    <w:rsid w:val="00AF0BD3"/>
    <w:rsid w:val="00AF0E53"/>
    <w:rsid w:val="00AF154D"/>
    <w:rsid w:val="00AF23BD"/>
    <w:rsid w:val="00AF2684"/>
    <w:rsid w:val="00AF2810"/>
    <w:rsid w:val="00AF2D55"/>
    <w:rsid w:val="00AF3253"/>
    <w:rsid w:val="00AF3287"/>
    <w:rsid w:val="00AF3861"/>
    <w:rsid w:val="00AF39BD"/>
    <w:rsid w:val="00AF414E"/>
    <w:rsid w:val="00AF46C4"/>
    <w:rsid w:val="00AF4BD7"/>
    <w:rsid w:val="00AF5530"/>
    <w:rsid w:val="00AF5FE3"/>
    <w:rsid w:val="00AF69C6"/>
    <w:rsid w:val="00AF6D42"/>
    <w:rsid w:val="00AF7D9E"/>
    <w:rsid w:val="00B003D0"/>
    <w:rsid w:val="00B00582"/>
    <w:rsid w:val="00B00795"/>
    <w:rsid w:val="00B00AFA"/>
    <w:rsid w:val="00B01756"/>
    <w:rsid w:val="00B01B73"/>
    <w:rsid w:val="00B02583"/>
    <w:rsid w:val="00B02602"/>
    <w:rsid w:val="00B02695"/>
    <w:rsid w:val="00B0292A"/>
    <w:rsid w:val="00B0308B"/>
    <w:rsid w:val="00B03874"/>
    <w:rsid w:val="00B039AF"/>
    <w:rsid w:val="00B04610"/>
    <w:rsid w:val="00B053D2"/>
    <w:rsid w:val="00B055CD"/>
    <w:rsid w:val="00B0605C"/>
    <w:rsid w:val="00B067AA"/>
    <w:rsid w:val="00B06BB1"/>
    <w:rsid w:val="00B06FE5"/>
    <w:rsid w:val="00B074CC"/>
    <w:rsid w:val="00B07C1D"/>
    <w:rsid w:val="00B07EFD"/>
    <w:rsid w:val="00B10240"/>
    <w:rsid w:val="00B109AB"/>
    <w:rsid w:val="00B120D9"/>
    <w:rsid w:val="00B1243A"/>
    <w:rsid w:val="00B12965"/>
    <w:rsid w:val="00B13421"/>
    <w:rsid w:val="00B1400C"/>
    <w:rsid w:val="00B14636"/>
    <w:rsid w:val="00B150AC"/>
    <w:rsid w:val="00B15435"/>
    <w:rsid w:val="00B16026"/>
    <w:rsid w:val="00B16105"/>
    <w:rsid w:val="00B16182"/>
    <w:rsid w:val="00B162AD"/>
    <w:rsid w:val="00B167AC"/>
    <w:rsid w:val="00B1738F"/>
    <w:rsid w:val="00B17E0D"/>
    <w:rsid w:val="00B17F8A"/>
    <w:rsid w:val="00B20A09"/>
    <w:rsid w:val="00B210ED"/>
    <w:rsid w:val="00B213A2"/>
    <w:rsid w:val="00B21510"/>
    <w:rsid w:val="00B2219F"/>
    <w:rsid w:val="00B231DE"/>
    <w:rsid w:val="00B2325E"/>
    <w:rsid w:val="00B23854"/>
    <w:rsid w:val="00B24B90"/>
    <w:rsid w:val="00B258B0"/>
    <w:rsid w:val="00B25ABF"/>
    <w:rsid w:val="00B26022"/>
    <w:rsid w:val="00B261F0"/>
    <w:rsid w:val="00B26325"/>
    <w:rsid w:val="00B26430"/>
    <w:rsid w:val="00B26432"/>
    <w:rsid w:val="00B26A71"/>
    <w:rsid w:val="00B2753E"/>
    <w:rsid w:val="00B27C7D"/>
    <w:rsid w:val="00B30152"/>
    <w:rsid w:val="00B30704"/>
    <w:rsid w:val="00B30D05"/>
    <w:rsid w:val="00B313A7"/>
    <w:rsid w:val="00B3160A"/>
    <w:rsid w:val="00B3263D"/>
    <w:rsid w:val="00B32911"/>
    <w:rsid w:val="00B32F1D"/>
    <w:rsid w:val="00B3369B"/>
    <w:rsid w:val="00B3389C"/>
    <w:rsid w:val="00B34164"/>
    <w:rsid w:val="00B344B4"/>
    <w:rsid w:val="00B35250"/>
    <w:rsid w:val="00B355C5"/>
    <w:rsid w:val="00B356E3"/>
    <w:rsid w:val="00B361DC"/>
    <w:rsid w:val="00B36833"/>
    <w:rsid w:val="00B36B5B"/>
    <w:rsid w:val="00B37111"/>
    <w:rsid w:val="00B377E6"/>
    <w:rsid w:val="00B37FCA"/>
    <w:rsid w:val="00B403AB"/>
    <w:rsid w:val="00B41249"/>
    <w:rsid w:val="00B4125E"/>
    <w:rsid w:val="00B417C3"/>
    <w:rsid w:val="00B419E1"/>
    <w:rsid w:val="00B41A38"/>
    <w:rsid w:val="00B41B25"/>
    <w:rsid w:val="00B42587"/>
    <w:rsid w:val="00B427E9"/>
    <w:rsid w:val="00B42847"/>
    <w:rsid w:val="00B429DC"/>
    <w:rsid w:val="00B42ED9"/>
    <w:rsid w:val="00B45030"/>
    <w:rsid w:val="00B45342"/>
    <w:rsid w:val="00B45993"/>
    <w:rsid w:val="00B459FD"/>
    <w:rsid w:val="00B4621A"/>
    <w:rsid w:val="00B46A9C"/>
    <w:rsid w:val="00B46BC4"/>
    <w:rsid w:val="00B473C1"/>
    <w:rsid w:val="00B47536"/>
    <w:rsid w:val="00B47F44"/>
    <w:rsid w:val="00B50480"/>
    <w:rsid w:val="00B50E1D"/>
    <w:rsid w:val="00B50F96"/>
    <w:rsid w:val="00B51106"/>
    <w:rsid w:val="00B5240E"/>
    <w:rsid w:val="00B53251"/>
    <w:rsid w:val="00B53766"/>
    <w:rsid w:val="00B53D27"/>
    <w:rsid w:val="00B53DD2"/>
    <w:rsid w:val="00B544EA"/>
    <w:rsid w:val="00B54B69"/>
    <w:rsid w:val="00B5641A"/>
    <w:rsid w:val="00B56C37"/>
    <w:rsid w:val="00B56CD6"/>
    <w:rsid w:val="00B56DE3"/>
    <w:rsid w:val="00B56E2D"/>
    <w:rsid w:val="00B57242"/>
    <w:rsid w:val="00B57889"/>
    <w:rsid w:val="00B60606"/>
    <w:rsid w:val="00B61A49"/>
    <w:rsid w:val="00B6298F"/>
    <w:rsid w:val="00B63535"/>
    <w:rsid w:val="00B63954"/>
    <w:rsid w:val="00B6458B"/>
    <w:rsid w:val="00B64749"/>
    <w:rsid w:val="00B648D9"/>
    <w:rsid w:val="00B64CDC"/>
    <w:rsid w:val="00B64F0E"/>
    <w:rsid w:val="00B65540"/>
    <w:rsid w:val="00B65A30"/>
    <w:rsid w:val="00B6656E"/>
    <w:rsid w:val="00B67C4C"/>
    <w:rsid w:val="00B67F69"/>
    <w:rsid w:val="00B70221"/>
    <w:rsid w:val="00B70CCA"/>
    <w:rsid w:val="00B724B5"/>
    <w:rsid w:val="00B72DB9"/>
    <w:rsid w:val="00B7326E"/>
    <w:rsid w:val="00B73409"/>
    <w:rsid w:val="00B737D5"/>
    <w:rsid w:val="00B74342"/>
    <w:rsid w:val="00B74654"/>
    <w:rsid w:val="00B7554B"/>
    <w:rsid w:val="00B75574"/>
    <w:rsid w:val="00B75B79"/>
    <w:rsid w:val="00B75FAA"/>
    <w:rsid w:val="00B77003"/>
    <w:rsid w:val="00B77184"/>
    <w:rsid w:val="00B7722E"/>
    <w:rsid w:val="00B7774B"/>
    <w:rsid w:val="00B80078"/>
    <w:rsid w:val="00B800B7"/>
    <w:rsid w:val="00B800C4"/>
    <w:rsid w:val="00B81DA0"/>
    <w:rsid w:val="00B82635"/>
    <w:rsid w:val="00B82C18"/>
    <w:rsid w:val="00B850F5"/>
    <w:rsid w:val="00B851AF"/>
    <w:rsid w:val="00B85DCA"/>
    <w:rsid w:val="00B85E00"/>
    <w:rsid w:val="00B864D3"/>
    <w:rsid w:val="00B901B5"/>
    <w:rsid w:val="00B9030E"/>
    <w:rsid w:val="00B903D4"/>
    <w:rsid w:val="00B90485"/>
    <w:rsid w:val="00B90813"/>
    <w:rsid w:val="00B91063"/>
    <w:rsid w:val="00B9114C"/>
    <w:rsid w:val="00B9159E"/>
    <w:rsid w:val="00B91AE8"/>
    <w:rsid w:val="00B928CC"/>
    <w:rsid w:val="00B92A0C"/>
    <w:rsid w:val="00B92BD9"/>
    <w:rsid w:val="00B93448"/>
    <w:rsid w:val="00B93936"/>
    <w:rsid w:val="00B93CCB"/>
    <w:rsid w:val="00B94617"/>
    <w:rsid w:val="00B94A9B"/>
    <w:rsid w:val="00B95B80"/>
    <w:rsid w:val="00B95E3E"/>
    <w:rsid w:val="00B96259"/>
    <w:rsid w:val="00B96321"/>
    <w:rsid w:val="00B964A0"/>
    <w:rsid w:val="00BA04E7"/>
    <w:rsid w:val="00BA0F27"/>
    <w:rsid w:val="00BA16D5"/>
    <w:rsid w:val="00BA1F7B"/>
    <w:rsid w:val="00BA34B7"/>
    <w:rsid w:val="00BA3E52"/>
    <w:rsid w:val="00BA4830"/>
    <w:rsid w:val="00BA496E"/>
    <w:rsid w:val="00BA4CCC"/>
    <w:rsid w:val="00BA4E22"/>
    <w:rsid w:val="00BA6054"/>
    <w:rsid w:val="00BA6E33"/>
    <w:rsid w:val="00BA72E1"/>
    <w:rsid w:val="00BA7498"/>
    <w:rsid w:val="00BB00C8"/>
    <w:rsid w:val="00BB06EC"/>
    <w:rsid w:val="00BB1346"/>
    <w:rsid w:val="00BB1403"/>
    <w:rsid w:val="00BB1CDD"/>
    <w:rsid w:val="00BB33EA"/>
    <w:rsid w:val="00BB34FF"/>
    <w:rsid w:val="00BB387F"/>
    <w:rsid w:val="00BB3B04"/>
    <w:rsid w:val="00BB3DC4"/>
    <w:rsid w:val="00BB4A68"/>
    <w:rsid w:val="00BB4B3C"/>
    <w:rsid w:val="00BB4D4A"/>
    <w:rsid w:val="00BB4DE9"/>
    <w:rsid w:val="00BB62CC"/>
    <w:rsid w:val="00BB7D0D"/>
    <w:rsid w:val="00BB7E8F"/>
    <w:rsid w:val="00BB7ED1"/>
    <w:rsid w:val="00BC095A"/>
    <w:rsid w:val="00BC0BA3"/>
    <w:rsid w:val="00BC0F70"/>
    <w:rsid w:val="00BC10D0"/>
    <w:rsid w:val="00BC160A"/>
    <w:rsid w:val="00BC1C62"/>
    <w:rsid w:val="00BC2289"/>
    <w:rsid w:val="00BC35DB"/>
    <w:rsid w:val="00BC49B0"/>
    <w:rsid w:val="00BC4BB9"/>
    <w:rsid w:val="00BC5EF7"/>
    <w:rsid w:val="00BC5F7A"/>
    <w:rsid w:val="00BC6348"/>
    <w:rsid w:val="00BC6985"/>
    <w:rsid w:val="00BC6B3B"/>
    <w:rsid w:val="00BD02E9"/>
    <w:rsid w:val="00BD05AE"/>
    <w:rsid w:val="00BD05C0"/>
    <w:rsid w:val="00BD155F"/>
    <w:rsid w:val="00BD16AF"/>
    <w:rsid w:val="00BD1EEC"/>
    <w:rsid w:val="00BD2876"/>
    <w:rsid w:val="00BD30E1"/>
    <w:rsid w:val="00BD356F"/>
    <w:rsid w:val="00BD4CA9"/>
    <w:rsid w:val="00BD50CF"/>
    <w:rsid w:val="00BD5193"/>
    <w:rsid w:val="00BD5950"/>
    <w:rsid w:val="00BD5B18"/>
    <w:rsid w:val="00BD5C09"/>
    <w:rsid w:val="00BD60F6"/>
    <w:rsid w:val="00BD6A9D"/>
    <w:rsid w:val="00BD76B3"/>
    <w:rsid w:val="00BD7F4C"/>
    <w:rsid w:val="00BE00DE"/>
    <w:rsid w:val="00BE0A1B"/>
    <w:rsid w:val="00BE0C1F"/>
    <w:rsid w:val="00BE1B04"/>
    <w:rsid w:val="00BE23EF"/>
    <w:rsid w:val="00BE2694"/>
    <w:rsid w:val="00BE293F"/>
    <w:rsid w:val="00BE2978"/>
    <w:rsid w:val="00BE3A35"/>
    <w:rsid w:val="00BE471F"/>
    <w:rsid w:val="00BE49E9"/>
    <w:rsid w:val="00BE4A02"/>
    <w:rsid w:val="00BE4E2E"/>
    <w:rsid w:val="00BE5580"/>
    <w:rsid w:val="00BE5A98"/>
    <w:rsid w:val="00BE5E23"/>
    <w:rsid w:val="00BE63FF"/>
    <w:rsid w:val="00BE69AD"/>
    <w:rsid w:val="00BE69F3"/>
    <w:rsid w:val="00BE6C00"/>
    <w:rsid w:val="00BE741E"/>
    <w:rsid w:val="00BE75CA"/>
    <w:rsid w:val="00BE75F2"/>
    <w:rsid w:val="00BF03CC"/>
    <w:rsid w:val="00BF03F8"/>
    <w:rsid w:val="00BF0F07"/>
    <w:rsid w:val="00BF266F"/>
    <w:rsid w:val="00BF3304"/>
    <w:rsid w:val="00BF3C2B"/>
    <w:rsid w:val="00BF56B5"/>
    <w:rsid w:val="00BF5BA7"/>
    <w:rsid w:val="00BF5E5A"/>
    <w:rsid w:val="00BF5F3E"/>
    <w:rsid w:val="00BF65B1"/>
    <w:rsid w:val="00BF6C55"/>
    <w:rsid w:val="00BF70CA"/>
    <w:rsid w:val="00C00076"/>
    <w:rsid w:val="00C0076F"/>
    <w:rsid w:val="00C00FA5"/>
    <w:rsid w:val="00C01173"/>
    <w:rsid w:val="00C019D6"/>
    <w:rsid w:val="00C02093"/>
    <w:rsid w:val="00C02770"/>
    <w:rsid w:val="00C0295C"/>
    <w:rsid w:val="00C02E6E"/>
    <w:rsid w:val="00C03D93"/>
    <w:rsid w:val="00C047F5"/>
    <w:rsid w:val="00C055EE"/>
    <w:rsid w:val="00C05FDD"/>
    <w:rsid w:val="00C06471"/>
    <w:rsid w:val="00C0689F"/>
    <w:rsid w:val="00C070F4"/>
    <w:rsid w:val="00C076F9"/>
    <w:rsid w:val="00C10307"/>
    <w:rsid w:val="00C10416"/>
    <w:rsid w:val="00C1056A"/>
    <w:rsid w:val="00C10DBF"/>
    <w:rsid w:val="00C114B2"/>
    <w:rsid w:val="00C122A1"/>
    <w:rsid w:val="00C126D9"/>
    <w:rsid w:val="00C12733"/>
    <w:rsid w:val="00C13EEA"/>
    <w:rsid w:val="00C14719"/>
    <w:rsid w:val="00C1591D"/>
    <w:rsid w:val="00C15976"/>
    <w:rsid w:val="00C1597F"/>
    <w:rsid w:val="00C16E4D"/>
    <w:rsid w:val="00C17148"/>
    <w:rsid w:val="00C17BCE"/>
    <w:rsid w:val="00C2030F"/>
    <w:rsid w:val="00C20318"/>
    <w:rsid w:val="00C21740"/>
    <w:rsid w:val="00C22BC8"/>
    <w:rsid w:val="00C24EF5"/>
    <w:rsid w:val="00C2505F"/>
    <w:rsid w:val="00C25696"/>
    <w:rsid w:val="00C25722"/>
    <w:rsid w:val="00C26A23"/>
    <w:rsid w:val="00C26D10"/>
    <w:rsid w:val="00C26D74"/>
    <w:rsid w:val="00C27360"/>
    <w:rsid w:val="00C277CE"/>
    <w:rsid w:val="00C3053B"/>
    <w:rsid w:val="00C31333"/>
    <w:rsid w:val="00C3205B"/>
    <w:rsid w:val="00C32514"/>
    <w:rsid w:val="00C32B0A"/>
    <w:rsid w:val="00C32E16"/>
    <w:rsid w:val="00C33097"/>
    <w:rsid w:val="00C34274"/>
    <w:rsid w:val="00C346EE"/>
    <w:rsid w:val="00C3500D"/>
    <w:rsid w:val="00C357C6"/>
    <w:rsid w:val="00C35EC2"/>
    <w:rsid w:val="00C36B5E"/>
    <w:rsid w:val="00C409C4"/>
    <w:rsid w:val="00C410FC"/>
    <w:rsid w:val="00C415BA"/>
    <w:rsid w:val="00C4278A"/>
    <w:rsid w:val="00C437B5"/>
    <w:rsid w:val="00C4387E"/>
    <w:rsid w:val="00C4449B"/>
    <w:rsid w:val="00C453C5"/>
    <w:rsid w:val="00C45723"/>
    <w:rsid w:val="00C45B6B"/>
    <w:rsid w:val="00C46099"/>
    <w:rsid w:val="00C46801"/>
    <w:rsid w:val="00C46892"/>
    <w:rsid w:val="00C46A8F"/>
    <w:rsid w:val="00C4712C"/>
    <w:rsid w:val="00C47A8F"/>
    <w:rsid w:val="00C500BD"/>
    <w:rsid w:val="00C500F3"/>
    <w:rsid w:val="00C5013F"/>
    <w:rsid w:val="00C5014D"/>
    <w:rsid w:val="00C502CE"/>
    <w:rsid w:val="00C50AC8"/>
    <w:rsid w:val="00C5168B"/>
    <w:rsid w:val="00C5204B"/>
    <w:rsid w:val="00C52091"/>
    <w:rsid w:val="00C52420"/>
    <w:rsid w:val="00C52E31"/>
    <w:rsid w:val="00C548B2"/>
    <w:rsid w:val="00C54E72"/>
    <w:rsid w:val="00C54FBA"/>
    <w:rsid w:val="00C55259"/>
    <w:rsid w:val="00C552F5"/>
    <w:rsid w:val="00C556C5"/>
    <w:rsid w:val="00C567FB"/>
    <w:rsid w:val="00C57870"/>
    <w:rsid w:val="00C61459"/>
    <w:rsid w:val="00C614BA"/>
    <w:rsid w:val="00C6151F"/>
    <w:rsid w:val="00C616F6"/>
    <w:rsid w:val="00C618A4"/>
    <w:rsid w:val="00C622BD"/>
    <w:rsid w:val="00C62CEF"/>
    <w:rsid w:val="00C62D51"/>
    <w:rsid w:val="00C63437"/>
    <w:rsid w:val="00C63566"/>
    <w:rsid w:val="00C63C6D"/>
    <w:rsid w:val="00C63CD9"/>
    <w:rsid w:val="00C64259"/>
    <w:rsid w:val="00C642AD"/>
    <w:rsid w:val="00C64377"/>
    <w:rsid w:val="00C6637C"/>
    <w:rsid w:val="00C66C84"/>
    <w:rsid w:val="00C67697"/>
    <w:rsid w:val="00C70C8D"/>
    <w:rsid w:val="00C70F27"/>
    <w:rsid w:val="00C71E22"/>
    <w:rsid w:val="00C71E73"/>
    <w:rsid w:val="00C724CE"/>
    <w:rsid w:val="00C729E4"/>
    <w:rsid w:val="00C72B9E"/>
    <w:rsid w:val="00C72EEA"/>
    <w:rsid w:val="00C734EC"/>
    <w:rsid w:val="00C73646"/>
    <w:rsid w:val="00C73C6A"/>
    <w:rsid w:val="00C742C2"/>
    <w:rsid w:val="00C74384"/>
    <w:rsid w:val="00C74458"/>
    <w:rsid w:val="00C74863"/>
    <w:rsid w:val="00C74AC6"/>
    <w:rsid w:val="00C75101"/>
    <w:rsid w:val="00C76013"/>
    <w:rsid w:val="00C7652D"/>
    <w:rsid w:val="00C76E8B"/>
    <w:rsid w:val="00C76EC8"/>
    <w:rsid w:val="00C77FBA"/>
    <w:rsid w:val="00C8017E"/>
    <w:rsid w:val="00C803C3"/>
    <w:rsid w:val="00C805BC"/>
    <w:rsid w:val="00C815BD"/>
    <w:rsid w:val="00C817DB"/>
    <w:rsid w:val="00C81908"/>
    <w:rsid w:val="00C82B5E"/>
    <w:rsid w:val="00C83418"/>
    <w:rsid w:val="00C8354D"/>
    <w:rsid w:val="00C838AE"/>
    <w:rsid w:val="00C845B8"/>
    <w:rsid w:val="00C84714"/>
    <w:rsid w:val="00C853BF"/>
    <w:rsid w:val="00C855D6"/>
    <w:rsid w:val="00C86CE0"/>
    <w:rsid w:val="00C8752A"/>
    <w:rsid w:val="00C876AF"/>
    <w:rsid w:val="00C87BD8"/>
    <w:rsid w:val="00C90B4C"/>
    <w:rsid w:val="00C90E4C"/>
    <w:rsid w:val="00C912F2"/>
    <w:rsid w:val="00C91C3B"/>
    <w:rsid w:val="00C91D78"/>
    <w:rsid w:val="00C921CB"/>
    <w:rsid w:val="00C93045"/>
    <w:rsid w:val="00C934F0"/>
    <w:rsid w:val="00C950A0"/>
    <w:rsid w:val="00C960AC"/>
    <w:rsid w:val="00C9632C"/>
    <w:rsid w:val="00C964AC"/>
    <w:rsid w:val="00C96922"/>
    <w:rsid w:val="00C97717"/>
    <w:rsid w:val="00C97843"/>
    <w:rsid w:val="00C97C4A"/>
    <w:rsid w:val="00CA02A0"/>
    <w:rsid w:val="00CA05AD"/>
    <w:rsid w:val="00CA085E"/>
    <w:rsid w:val="00CA0E3E"/>
    <w:rsid w:val="00CA0F09"/>
    <w:rsid w:val="00CA1334"/>
    <w:rsid w:val="00CA160F"/>
    <w:rsid w:val="00CA18E5"/>
    <w:rsid w:val="00CA1CDB"/>
    <w:rsid w:val="00CA220B"/>
    <w:rsid w:val="00CA2876"/>
    <w:rsid w:val="00CA3766"/>
    <w:rsid w:val="00CA45EB"/>
    <w:rsid w:val="00CA4A0E"/>
    <w:rsid w:val="00CA528E"/>
    <w:rsid w:val="00CA52AD"/>
    <w:rsid w:val="00CA5B62"/>
    <w:rsid w:val="00CA5FD3"/>
    <w:rsid w:val="00CA6A81"/>
    <w:rsid w:val="00CA7A0E"/>
    <w:rsid w:val="00CB02B8"/>
    <w:rsid w:val="00CB055E"/>
    <w:rsid w:val="00CB0EA7"/>
    <w:rsid w:val="00CB1221"/>
    <w:rsid w:val="00CB1C1C"/>
    <w:rsid w:val="00CB1F27"/>
    <w:rsid w:val="00CB26EC"/>
    <w:rsid w:val="00CB3351"/>
    <w:rsid w:val="00CB383F"/>
    <w:rsid w:val="00CB39F4"/>
    <w:rsid w:val="00CB3AE0"/>
    <w:rsid w:val="00CB4B62"/>
    <w:rsid w:val="00CB4DEA"/>
    <w:rsid w:val="00CB4F8D"/>
    <w:rsid w:val="00CB565A"/>
    <w:rsid w:val="00CB5CC9"/>
    <w:rsid w:val="00CB5D1A"/>
    <w:rsid w:val="00CB5F9D"/>
    <w:rsid w:val="00CB6A19"/>
    <w:rsid w:val="00CB6F5A"/>
    <w:rsid w:val="00CB7AD8"/>
    <w:rsid w:val="00CC054E"/>
    <w:rsid w:val="00CC0D7E"/>
    <w:rsid w:val="00CC1002"/>
    <w:rsid w:val="00CC106E"/>
    <w:rsid w:val="00CC1C83"/>
    <w:rsid w:val="00CC1D91"/>
    <w:rsid w:val="00CC1E93"/>
    <w:rsid w:val="00CC1F0A"/>
    <w:rsid w:val="00CC25E6"/>
    <w:rsid w:val="00CC29C8"/>
    <w:rsid w:val="00CC2BE9"/>
    <w:rsid w:val="00CC2C1B"/>
    <w:rsid w:val="00CC2DB1"/>
    <w:rsid w:val="00CC374B"/>
    <w:rsid w:val="00CC3CF1"/>
    <w:rsid w:val="00CC3DA4"/>
    <w:rsid w:val="00CC4144"/>
    <w:rsid w:val="00CC4449"/>
    <w:rsid w:val="00CC55D1"/>
    <w:rsid w:val="00CC6539"/>
    <w:rsid w:val="00CC688D"/>
    <w:rsid w:val="00CC7B97"/>
    <w:rsid w:val="00CC7F72"/>
    <w:rsid w:val="00CD0065"/>
    <w:rsid w:val="00CD03EA"/>
    <w:rsid w:val="00CD0E34"/>
    <w:rsid w:val="00CD237A"/>
    <w:rsid w:val="00CD26C6"/>
    <w:rsid w:val="00CD2EF4"/>
    <w:rsid w:val="00CD2F1E"/>
    <w:rsid w:val="00CD33E4"/>
    <w:rsid w:val="00CD5F85"/>
    <w:rsid w:val="00CD621F"/>
    <w:rsid w:val="00CD784F"/>
    <w:rsid w:val="00CD7B57"/>
    <w:rsid w:val="00CD7EA5"/>
    <w:rsid w:val="00CE0450"/>
    <w:rsid w:val="00CE04A2"/>
    <w:rsid w:val="00CE0B9F"/>
    <w:rsid w:val="00CE1E6F"/>
    <w:rsid w:val="00CE22B6"/>
    <w:rsid w:val="00CE2E08"/>
    <w:rsid w:val="00CE3642"/>
    <w:rsid w:val="00CE3F8A"/>
    <w:rsid w:val="00CE41BE"/>
    <w:rsid w:val="00CE4474"/>
    <w:rsid w:val="00CE4970"/>
    <w:rsid w:val="00CE49F0"/>
    <w:rsid w:val="00CE4A24"/>
    <w:rsid w:val="00CE4E25"/>
    <w:rsid w:val="00CE5783"/>
    <w:rsid w:val="00CE5887"/>
    <w:rsid w:val="00CE6674"/>
    <w:rsid w:val="00CE67CA"/>
    <w:rsid w:val="00CE7868"/>
    <w:rsid w:val="00CE7ADB"/>
    <w:rsid w:val="00CF0239"/>
    <w:rsid w:val="00CF0589"/>
    <w:rsid w:val="00CF0823"/>
    <w:rsid w:val="00CF0B29"/>
    <w:rsid w:val="00CF126E"/>
    <w:rsid w:val="00CF1897"/>
    <w:rsid w:val="00CF19AE"/>
    <w:rsid w:val="00CF1FF4"/>
    <w:rsid w:val="00CF2848"/>
    <w:rsid w:val="00CF39FD"/>
    <w:rsid w:val="00CF3E19"/>
    <w:rsid w:val="00CF4803"/>
    <w:rsid w:val="00CF4B09"/>
    <w:rsid w:val="00CF580C"/>
    <w:rsid w:val="00CF5FA7"/>
    <w:rsid w:val="00CF61D0"/>
    <w:rsid w:val="00CF6D81"/>
    <w:rsid w:val="00CF791A"/>
    <w:rsid w:val="00CF7BEC"/>
    <w:rsid w:val="00CF7C11"/>
    <w:rsid w:val="00D000B5"/>
    <w:rsid w:val="00D00375"/>
    <w:rsid w:val="00D00448"/>
    <w:rsid w:val="00D00BE3"/>
    <w:rsid w:val="00D01188"/>
    <w:rsid w:val="00D0139E"/>
    <w:rsid w:val="00D01678"/>
    <w:rsid w:val="00D01B6E"/>
    <w:rsid w:val="00D01B76"/>
    <w:rsid w:val="00D0369E"/>
    <w:rsid w:val="00D04ACA"/>
    <w:rsid w:val="00D052F0"/>
    <w:rsid w:val="00D056DE"/>
    <w:rsid w:val="00D05838"/>
    <w:rsid w:val="00D06318"/>
    <w:rsid w:val="00D06737"/>
    <w:rsid w:val="00D07C13"/>
    <w:rsid w:val="00D1145B"/>
    <w:rsid w:val="00D11F0B"/>
    <w:rsid w:val="00D120D6"/>
    <w:rsid w:val="00D12233"/>
    <w:rsid w:val="00D12277"/>
    <w:rsid w:val="00D1287A"/>
    <w:rsid w:val="00D12C44"/>
    <w:rsid w:val="00D13197"/>
    <w:rsid w:val="00D14BA4"/>
    <w:rsid w:val="00D14E32"/>
    <w:rsid w:val="00D1521D"/>
    <w:rsid w:val="00D15F78"/>
    <w:rsid w:val="00D165D4"/>
    <w:rsid w:val="00D165F8"/>
    <w:rsid w:val="00D167E0"/>
    <w:rsid w:val="00D16BA7"/>
    <w:rsid w:val="00D16C13"/>
    <w:rsid w:val="00D203DA"/>
    <w:rsid w:val="00D20AB6"/>
    <w:rsid w:val="00D21221"/>
    <w:rsid w:val="00D21E25"/>
    <w:rsid w:val="00D22758"/>
    <w:rsid w:val="00D22900"/>
    <w:rsid w:val="00D22F1A"/>
    <w:rsid w:val="00D2305C"/>
    <w:rsid w:val="00D23902"/>
    <w:rsid w:val="00D24335"/>
    <w:rsid w:val="00D2453B"/>
    <w:rsid w:val="00D24C4B"/>
    <w:rsid w:val="00D260E6"/>
    <w:rsid w:val="00D2739E"/>
    <w:rsid w:val="00D27781"/>
    <w:rsid w:val="00D27810"/>
    <w:rsid w:val="00D27D3E"/>
    <w:rsid w:val="00D27DED"/>
    <w:rsid w:val="00D27EFC"/>
    <w:rsid w:val="00D3012D"/>
    <w:rsid w:val="00D30B12"/>
    <w:rsid w:val="00D31742"/>
    <w:rsid w:val="00D321BE"/>
    <w:rsid w:val="00D322D7"/>
    <w:rsid w:val="00D3259B"/>
    <w:rsid w:val="00D325DA"/>
    <w:rsid w:val="00D33C33"/>
    <w:rsid w:val="00D359E8"/>
    <w:rsid w:val="00D362BC"/>
    <w:rsid w:val="00D36E92"/>
    <w:rsid w:val="00D37012"/>
    <w:rsid w:val="00D370B6"/>
    <w:rsid w:val="00D372EA"/>
    <w:rsid w:val="00D37AF5"/>
    <w:rsid w:val="00D4026F"/>
    <w:rsid w:val="00D402A1"/>
    <w:rsid w:val="00D402A7"/>
    <w:rsid w:val="00D40528"/>
    <w:rsid w:val="00D405E7"/>
    <w:rsid w:val="00D40D81"/>
    <w:rsid w:val="00D40DBA"/>
    <w:rsid w:val="00D4257E"/>
    <w:rsid w:val="00D42E1C"/>
    <w:rsid w:val="00D43154"/>
    <w:rsid w:val="00D43D7B"/>
    <w:rsid w:val="00D43EA9"/>
    <w:rsid w:val="00D44FA5"/>
    <w:rsid w:val="00D45FF2"/>
    <w:rsid w:val="00D46B6E"/>
    <w:rsid w:val="00D478C5"/>
    <w:rsid w:val="00D47CFD"/>
    <w:rsid w:val="00D51574"/>
    <w:rsid w:val="00D516AA"/>
    <w:rsid w:val="00D51733"/>
    <w:rsid w:val="00D51A44"/>
    <w:rsid w:val="00D51E35"/>
    <w:rsid w:val="00D51FA0"/>
    <w:rsid w:val="00D523BF"/>
    <w:rsid w:val="00D52938"/>
    <w:rsid w:val="00D52989"/>
    <w:rsid w:val="00D54804"/>
    <w:rsid w:val="00D5538E"/>
    <w:rsid w:val="00D55C82"/>
    <w:rsid w:val="00D55CCE"/>
    <w:rsid w:val="00D56D55"/>
    <w:rsid w:val="00D56E2D"/>
    <w:rsid w:val="00D56EF1"/>
    <w:rsid w:val="00D57000"/>
    <w:rsid w:val="00D602DD"/>
    <w:rsid w:val="00D6052F"/>
    <w:rsid w:val="00D60D98"/>
    <w:rsid w:val="00D61A43"/>
    <w:rsid w:val="00D62235"/>
    <w:rsid w:val="00D62437"/>
    <w:rsid w:val="00D6294F"/>
    <w:rsid w:val="00D62EB9"/>
    <w:rsid w:val="00D63067"/>
    <w:rsid w:val="00D6326A"/>
    <w:rsid w:val="00D63497"/>
    <w:rsid w:val="00D63507"/>
    <w:rsid w:val="00D63709"/>
    <w:rsid w:val="00D6496C"/>
    <w:rsid w:val="00D64CC2"/>
    <w:rsid w:val="00D64D16"/>
    <w:rsid w:val="00D64D4C"/>
    <w:rsid w:val="00D6506E"/>
    <w:rsid w:val="00D66644"/>
    <w:rsid w:val="00D66B7A"/>
    <w:rsid w:val="00D67208"/>
    <w:rsid w:val="00D6735A"/>
    <w:rsid w:val="00D679BE"/>
    <w:rsid w:val="00D70A66"/>
    <w:rsid w:val="00D70C4A"/>
    <w:rsid w:val="00D71D69"/>
    <w:rsid w:val="00D7237A"/>
    <w:rsid w:val="00D7258C"/>
    <w:rsid w:val="00D728AA"/>
    <w:rsid w:val="00D72B72"/>
    <w:rsid w:val="00D73075"/>
    <w:rsid w:val="00D73B48"/>
    <w:rsid w:val="00D74439"/>
    <w:rsid w:val="00D745DD"/>
    <w:rsid w:val="00D74676"/>
    <w:rsid w:val="00D749D1"/>
    <w:rsid w:val="00D74F58"/>
    <w:rsid w:val="00D75194"/>
    <w:rsid w:val="00D75820"/>
    <w:rsid w:val="00D76A40"/>
    <w:rsid w:val="00D76D90"/>
    <w:rsid w:val="00D801D3"/>
    <w:rsid w:val="00D8090C"/>
    <w:rsid w:val="00D80DE2"/>
    <w:rsid w:val="00D81743"/>
    <w:rsid w:val="00D81F17"/>
    <w:rsid w:val="00D82EF4"/>
    <w:rsid w:val="00D84266"/>
    <w:rsid w:val="00D8474A"/>
    <w:rsid w:val="00D84945"/>
    <w:rsid w:val="00D8505B"/>
    <w:rsid w:val="00D85E96"/>
    <w:rsid w:val="00D86DC9"/>
    <w:rsid w:val="00D87395"/>
    <w:rsid w:val="00D87CF1"/>
    <w:rsid w:val="00D905BA"/>
    <w:rsid w:val="00D90901"/>
    <w:rsid w:val="00D90B74"/>
    <w:rsid w:val="00D913F9"/>
    <w:rsid w:val="00D91BE5"/>
    <w:rsid w:val="00D9202F"/>
    <w:rsid w:val="00D923DA"/>
    <w:rsid w:val="00D92AFB"/>
    <w:rsid w:val="00D94618"/>
    <w:rsid w:val="00D9518D"/>
    <w:rsid w:val="00D95C11"/>
    <w:rsid w:val="00D95E6A"/>
    <w:rsid w:val="00D95FE3"/>
    <w:rsid w:val="00D96D28"/>
    <w:rsid w:val="00D97630"/>
    <w:rsid w:val="00D97C05"/>
    <w:rsid w:val="00DA0382"/>
    <w:rsid w:val="00DA0D99"/>
    <w:rsid w:val="00DA0F32"/>
    <w:rsid w:val="00DA276B"/>
    <w:rsid w:val="00DA2D10"/>
    <w:rsid w:val="00DA322C"/>
    <w:rsid w:val="00DA3617"/>
    <w:rsid w:val="00DA3C49"/>
    <w:rsid w:val="00DA3F3A"/>
    <w:rsid w:val="00DA3FE5"/>
    <w:rsid w:val="00DA410E"/>
    <w:rsid w:val="00DA43B2"/>
    <w:rsid w:val="00DA45B8"/>
    <w:rsid w:val="00DA54EF"/>
    <w:rsid w:val="00DA57F4"/>
    <w:rsid w:val="00DA642B"/>
    <w:rsid w:val="00DA6511"/>
    <w:rsid w:val="00DA69D1"/>
    <w:rsid w:val="00DA69E9"/>
    <w:rsid w:val="00DA6F88"/>
    <w:rsid w:val="00DA7415"/>
    <w:rsid w:val="00DB010E"/>
    <w:rsid w:val="00DB07B6"/>
    <w:rsid w:val="00DB0BAD"/>
    <w:rsid w:val="00DB0BEE"/>
    <w:rsid w:val="00DB39DC"/>
    <w:rsid w:val="00DB3E96"/>
    <w:rsid w:val="00DB4431"/>
    <w:rsid w:val="00DB47AD"/>
    <w:rsid w:val="00DB56A8"/>
    <w:rsid w:val="00DB5C5E"/>
    <w:rsid w:val="00DB5E79"/>
    <w:rsid w:val="00DB66E8"/>
    <w:rsid w:val="00DB6728"/>
    <w:rsid w:val="00DB6D34"/>
    <w:rsid w:val="00DB763A"/>
    <w:rsid w:val="00DB79C7"/>
    <w:rsid w:val="00DC06BB"/>
    <w:rsid w:val="00DC0A1B"/>
    <w:rsid w:val="00DC18C2"/>
    <w:rsid w:val="00DC2367"/>
    <w:rsid w:val="00DC27B3"/>
    <w:rsid w:val="00DC2C94"/>
    <w:rsid w:val="00DC2DB3"/>
    <w:rsid w:val="00DC3260"/>
    <w:rsid w:val="00DC3D29"/>
    <w:rsid w:val="00DC3E76"/>
    <w:rsid w:val="00DC40FC"/>
    <w:rsid w:val="00DC4190"/>
    <w:rsid w:val="00DC44C8"/>
    <w:rsid w:val="00DC4DD8"/>
    <w:rsid w:val="00DC4FC6"/>
    <w:rsid w:val="00DC53C5"/>
    <w:rsid w:val="00DC62A4"/>
    <w:rsid w:val="00DC6366"/>
    <w:rsid w:val="00DC6CD6"/>
    <w:rsid w:val="00DC739F"/>
    <w:rsid w:val="00DC781E"/>
    <w:rsid w:val="00DD020B"/>
    <w:rsid w:val="00DD05E9"/>
    <w:rsid w:val="00DD0A97"/>
    <w:rsid w:val="00DD0AA6"/>
    <w:rsid w:val="00DD14E9"/>
    <w:rsid w:val="00DD1AE1"/>
    <w:rsid w:val="00DD1C94"/>
    <w:rsid w:val="00DD2AC1"/>
    <w:rsid w:val="00DD300B"/>
    <w:rsid w:val="00DD342C"/>
    <w:rsid w:val="00DD3B63"/>
    <w:rsid w:val="00DD3E82"/>
    <w:rsid w:val="00DD3F45"/>
    <w:rsid w:val="00DD42A9"/>
    <w:rsid w:val="00DD4752"/>
    <w:rsid w:val="00DD489C"/>
    <w:rsid w:val="00DD4CBB"/>
    <w:rsid w:val="00DD5448"/>
    <w:rsid w:val="00DD54AC"/>
    <w:rsid w:val="00DD6613"/>
    <w:rsid w:val="00DD6A76"/>
    <w:rsid w:val="00DD6B09"/>
    <w:rsid w:val="00DE0A09"/>
    <w:rsid w:val="00DE0B42"/>
    <w:rsid w:val="00DE1556"/>
    <w:rsid w:val="00DE1AC5"/>
    <w:rsid w:val="00DE1E31"/>
    <w:rsid w:val="00DE2444"/>
    <w:rsid w:val="00DE3198"/>
    <w:rsid w:val="00DE35BA"/>
    <w:rsid w:val="00DE3824"/>
    <w:rsid w:val="00DE389C"/>
    <w:rsid w:val="00DE4277"/>
    <w:rsid w:val="00DE484E"/>
    <w:rsid w:val="00DE501E"/>
    <w:rsid w:val="00DE50BE"/>
    <w:rsid w:val="00DE6122"/>
    <w:rsid w:val="00DE641D"/>
    <w:rsid w:val="00DE65A6"/>
    <w:rsid w:val="00DE67C8"/>
    <w:rsid w:val="00DF0160"/>
    <w:rsid w:val="00DF0358"/>
    <w:rsid w:val="00DF08A8"/>
    <w:rsid w:val="00DF1AE0"/>
    <w:rsid w:val="00DF1D60"/>
    <w:rsid w:val="00DF22EB"/>
    <w:rsid w:val="00DF2AC9"/>
    <w:rsid w:val="00DF3171"/>
    <w:rsid w:val="00DF3E9A"/>
    <w:rsid w:val="00DF5306"/>
    <w:rsid w:val="00DF57BF"/>
    <w:rsid w:val="00DF5ADF"/>
    <w:rsid w:val="00DF6415"/>
    <w:rsid w:val="00DF6C78"/>
    <w:rsid w:val="00DF6F73"/>
    <w:rsid w:val="00DF7106"/>
    <w:rsid w:val="00DF744D"/>
    <w:rsid w:val="00DF78C5"/>
    <w:rsid w:val="00DF7C3F"/>
    <w:rsid w:val="00DF7E77"/>
    <w:rsid w:val="00E005EE"/>
    <w:rsid w:val="00E0073A"/>
    <w:rsid w:val="00E0080F"/>
    <w:rsid w:val="00E008CC"/>
    <w:rsid w:val="00E015F9"/>
    <w:rsid w:val="00E01926"/>
    <w:rsid w:val="00E01A2A"/>
    <w:rsid w:val="00E01F73"/>
    <w:rsid w:val="00E0284C"/>
    <w:rsid w:val="00E02AAA"/>
    <w:rsid w:val="00E03B2E"/>
    <w:rsid w:val="00E044AD"/>
    <w:rsid w:val="00E053DE"/>
    <w:rsid w:val="00E0575C"/>
    <w:rsid w:val="00E057C4"/>
    <w:rsid w:val="00E05E6A"/>
    <w:rsid w:val="00E06385"/>
    <w:rsid w:val="00E0645F"/>
    <w:rsid w:val="00E07D49"/>
    <w:rsid w:val="00E07D4F"/>
    <w:rsid w:val="00E1129A"/>
    <w:rsid w:val="00E12A54"/>
    <w:rsid w:val="00E12AC4"/>
    <w:rsid w:val="00E12F05"/>
    <w:rsid w:val="00E13525"/>
    <w:rsid w:val="00E13574"/>
    <w:rsid w:val="00E136D1"/>
    <w:rsid w:val="00E1422F"/>
    <w:rsid w:val="00E148AD"/>
    <w:rsid w:val="00E151D8"/>
    <w:rsid w:val="00E15556"/>
    <w:rsid w:val="00E169A9"/>
    <w:rsid w:val="00E17586"/>
    <w:rsid w:val="00E201A9"/>
    <w:rsid w:val="00E20B3F"/>
    <w:rsid w:val="00E20CFC"/>
    <w:rsid w:val="00E2163A"/>
    <w:rsid w:val="00E219D2"/>
    <w:rsid w:val="00E22041"/>
    <w:rsid w:val="00E22EAB"/>
    <w:rsid w:val="00E232BE"/>
    <w:rsid w:val="00E23413"/>
    <w:rsid w:val="00E23897"/>
    <w:rsid w:val="00E23DFD"/>
    <w:rsid w:val="00E23E5E"/>
    <w:rsid w:val="00E23E7C"/>
    <w:rsid w:val="00E2550A"/>
    <w:rsid w:val="00E25C49"/>
    <w:rsid w:val="00E30048"/>
    <w:rsid w:val="00E30448"/>
    <w:rsid w:val="00E30566"/>
    <w:rsid w:val="00E31C0B"/>
    <w:rsid w:val="00E32287"/>
    <w:rsid w:val="00E3271D"/>
    <w:rsid w:val="00E32AAD"/>
    <w:rsid w:val="00E3375A"/>
    <w:rsid w:val="00E35272"/>
    <w:rsid w:val="00E356F0"/>
    <w:rsid w:val="00E35A76"/>
    <w:rsid w:val="00E369FE"/>
    <w:rsid w:val="00E36C89"/>
    <w:rsid w:val="00E37174"/>
    <w:rsid w:val="00E373CA"/>
    <w:rsid w:val="00E37F83"/>
    <w:rsid w:val="00E37F98"/>
    <w:rsid w:val="00E40593"/>
    <w:rsid w:val="00E40B9E"/>
    <w:rsid w:val="00E4337C"/>
    <w:rsid w:val="00E4343A"/>
    <w:rsid w:val="00E434A2"/>
    <w:rsid w:val="00E43A57"/>
    <w:rsid w:val="00E43B63"/>
    <w:rsid w:val="00E44A3C"/>
    <w:rsid w:val="00E452EF"/>
    <w:rsid w:val="00E46266"/>
    <w:rsid w:val="00E469BF"/>
    <w:rsid w:val="00E47E89"/>
    <w:rsid w:val="00E502AB"/>
    <w:rsid w:val="00E503D4"/>
    <w:rsid w:val="00E504E6"/>
    <w:rsid w:val="00E50BE5"/>
    <w:rsid w:val="00E513AF"/>
    <w:rsid w:val="00E534DB"/>
    <w:rsid w:val="00E53AF5"/>
    <w:rsid w:val="00E5412F"/>
    <w:rsid w:val="00E548F0"/>
    <w:rsid w:val="00E54C78"/>
    <w:rsid w:val="00E54F17"/>
    <w:rsid w:val="00E55866"/>
    <w:rsid w:val="00E562BA"/>
    <w:rsid w:val="00E56D28"/>
    <w:rsid w:val="00E56D83"/>
    <w:rsid w:val="00E56DA1"/>
    <w:rsid w:val="00E57523"/>
    <w:rsid w:val="00E575B0"/>
    <w:rsid w:val="00E5764E"/>
    <w:rsid w:val="00E57F06"/>
    <w:rsid w:val="00E600C1"/>
    <w:rsid w:val="00E601BF"/>
    <w:rsid w:val="00E60C10"/>
    <w:rsid w:val="00E610A8"/>
    <w:rsid w:val="00E62404"/>
    <w:rsid w:val="00E6353D"/>
    <w:rsid w:val="00E63717"/>
    <w:rsid w:val="00E637F3"/>
    <w:rsid w:val="00E63BF8"/>
    <w:rsid w:val="00E63D35"/>
    <w:rsid w:val="00E63FE4"/>
    <w:rsid w:val="00E64114"/>
    <w:rsid w:val="00E645E3"/>
    <w:rsid w:val="00E649EF"/>
    <w:rsid w:val="00E6513C"/>
    <w:rsid w:val="00E65546"/>
    <w:rsid w:val="00E6608E"/>
    <w:rsid w:val="00E66407"/>
    <w:rsid w:val="00E66681"/>
    <w:rsid w:val="00E6698F"/>
    <w:rsid w:val="00E674EE"/>
    <w:rsid w:val="00E6779E"/>
    <w:rsid w:val="00E67A25"/>
    <w:rsid w:val="00E70B33"/>
    <w:rsid w:val="00E70F80"/>
    <w:rsid w:val="00E711CE"/>
    <w:rsid w:val="00E7127D"/>
    <w:rsid w:val="00E71338"/>
    <w:rsid w:val="00E71972"/>
    <w:rsid w:val="00E71BBB"/>
    <w:rsid w:val="00E72BFD"/>
    <w:rsid w:val="00E7347C"/>
    <w:rsid w:val="00E73AFE"/>
    <w:rsid w:val="00E760A3"/>
    <w:rsid w:val="00E76720"/>
    <w:rsid w:val="00E76A0C"/>
    <w:rsid w:val="00E770ED"/>
    <w:rsid w:val="00E778F5"/>
    <w:rsid w:val="00E77D6F"/>
    <w:rsid w:val="00E77FBC"/>
    <w:rsid w:val="00E80905"/>
    <w:rsid w:val="00E8090D"/>
    <w:rsid w:val="00E80F95"/>
    <w:rsid w:val="00E81090"/>
    <w:rsid w:val="00E8125B"/>
    <w:rsid w:val="00E8217F"/>
    <w:rsid w:val="00E8261C"/>
    <w:rsid w:val="00E82A93"/>
    <w:rsid w:val="00E82BFA"/>
    <w:rsid w:val="00E83586"/>
    <w:rsid w:val="00E83ED3"/>
    <w:rsid w:val="00E83FC6"/>
    <w:rsid w:val="00E84AE0"/>
    <w:rsid w:val="00E84FB4"/>
    <w:rsid w:val="00E85013"/>
    <w:rsid w:val="00E853ED"/>
    <w:rsid w:val="00E85F05"/>
    <w:rsid w:val="00E872E7"/>
    <w:rsid w:val="00E90324"/>
    <w:rsid w:val="00E90600"/>
    <w:rsid w:val="00E90B2E"/>
    <w:rsid w:val="00E90D0F"/>
    <w:rsid w:val="00E91EEB"/>
    <w:rsid w:val="00E9240D"/>
    <w:rsid w:val="00E92990"/>
    <w:rsid w:val="00E92C75"/>
    <w:rsid w:val="00E9361E"/>
    <w:rsid w:val="00E9400E"/>
    <w:rsid w:val="00E9411B"/>
    <w:rsid w:val="00E94E24"/>
    <w:rsid w:val="00E951F7"/>
    <w:rsid w:val="00E95BD4"/>
    <w:rsid w:val="00E96BF2"/>
    <w:rsid w:val="00E97E12"/>
    <w:rsid w:val="00E97EA5"/>
    <w:rsid w:val="00EA063F"/>
    <w:rsid w:val="00EA07E2"/>
    <w:rsid w:val="00EA1412"/>
    <w:rsid w:val="00EA2CA6"/>
    <w:rsid w:val="00EA31F2"/>
    <w:rsid w:val="00EA37B0"/>
    <w:rsid w:val="00EA396E"/>
    <w:rsid w:val="00EA3C40"/>
    <w:rsid w:val="00EA409D"/>
    <w:rsid w:val="00EA454B"/>
    <w:rsid w:val="00EA5168"/>
    <w:rsid w:val="00EA58D0"/>
    <w:rsid w:val="00EA6CD2"/>
    <w:rsid w:val="00EA7689"/>
    <w:rsid w:val="00EB02DF"/>
    <w:rsid w:val="00EB0458"/>
    <w:rsid w:val="00EB0BDD"/>
    <w:rsid w:val="00EB1837"/>
    <w:rsid w:val="00EB2176"/>
    <w:rsid w:val="00EB2313"/>
    <w:rsid w:val="00EB289F"/>
    <w:rsid w:val="00EB34AE"/>
    <w:rsid w:val="00EB3CCB"/>
    <w:rsid w:val="00EB3EC9"/>
    <w:rsid w:val="00EB4A44"/>
    <w:rsid w:val="00EB5334"/>
    <w:rsid w:val="00EB5682"/>
    <w:rsid w:val="00EB56EA"/>
    <w:rsid w:val="00EB638F"/>
    <w:rsid w:val="00EB6C05"/>
    <w:rsid w:val="00EB6DB4"/>
    <w:rsid w:val="00EB7266"/>
    <w:rsid w:val="00EC0083"/>
    <w:rsid w:val="00EC027D"/>
    <w:rsid w:val="00EC041F"/>
    <w:rsid w:val="00EC07EC"/>
    <w:rsid w:val="00EC117B"/>
    <w:rsid w:val="00EC15F5"/>
    <w:rsid w:val="00EC1A44"/>
    <w:rsid w:val="00EC2D3C"/>
    <w:rsid w:val="00EC3276"/>
    <w:rsid w:val="00EC33F2"/>
    <w:rsid w:val="00EC356D"/>
    <w:rsid w:val="00EC4B92"/>
    <w:rsid w:val="00EC6764"/>
    <w:rsid w:val="00EC69F1"/>
    <w:rsid w:val="00EC7239"/>
    <w:rsid w:val="00EC768C"/>
    <w:rsid w:val="00ED04B6"/>
    <w:rsid w:val="00ED0C57"/>
    <w:rsid w:val="00ED1297"/>
    <w:rsid w:val="00ED17CB"/>
    <w:rsid w:val="00ED1A5A"/>
    <w:rsid w:val="00ED1B71"/>
    <w:rsid w:val="00ED1CA7"/>
    <w:rsid w:val="00ED2355"/>
    <w:rsid w:val="00ED2A9E"/>
    <w:rsid w:val="00ED2BC4"/>
    <w:rsid w:val="00ED2D8C"/>
    <w:rsid w:val="00ED3EF3"/>
    <w:rsid w:val="00ED4B9A"/>
    <w:rsid w:val="00ED4D0B"/>
    <w:rsid w:val="00ED675F"/>
    <w:rsid w:val="00ED6905"/>
    <w:rsid w:val="00ED6CB2"/>
    <w:rsid w:val="00ED6D12"/>
    <w:rsid w:val="00ED6E14"/>
    <w:rsid w:val="00EE028D"/>
    <w:rsid w:val="00EE0810"/>
    <w:rsid w:val="00EE1122"/>
    <w:rsid w:val="00EE2355"/>
    <w:rsid w:val="00EE24D5"/>
    <w:rsid w:val="00EE2B99"/>
    <w:rsid w:val="00EE2D35"/>
    <w:rsid w:val="00EE2D46"/>
    <w:rsid w:val="00EE3231"/>
    <w:rsid w:val="00EE3842"/>
    <w:rsid w:val="00EE45E4"/>
    <w:rsid w:val="00EE57DD"/>
    <w:rsid w:val="00EE634E"/>
    <w:rsid w:val="00EE6550"/>
    <w:rsid w:val="00EE6785"/>
    <w:rsid w:val="00EE6CFB"/>
    <w:rsid w:val="00EE707E"/>
    <w:rsid w:val="00EE7381"/>
    <w:rsid w:val="00EE7C4E"/>
    <w:rsid w:val="00EF00F8"/>
    <w:rsid w:val="00EF0764"/>
    <w:rsid w:val="00EF0865"/>
    <w:rsid w:val="00EF10E7"/>
    <w:rsid w:val="00EF176B"/>
    <w:rsid w:val="00EF214F"/>
    <w:rsid w:val="00EF2C2D"/>
    <w:rsid w:val="00EF2DE0"/>
    <w:rsid w:val="00EF466D"/>
    <w:rsid w:val="00EF4746"/>
    <w:rsid w:val="00EF5096"/>
    <w:rsid w:val="00EF5E87"/>
    <w:rsid w:val="00EF61A8"/>
    <w:rsid w:val="00EF68BD"/>
    <w:rsid w:val="00F007FE"/>
    <w:rsid w:val="00F012A7"/>
    <w:rsid w:val="00F01C90"/>
    <w:rsid w:val="00F01F03"/>
    <w:rsid w:val="00F02EB3"/>
    <w:rsid w:val="00F0315E"/>
    <w:rsid w:val="00F03883"/>
    <w:rsid w:val="00F04554"/>
    <w:rsid w:val="00F046EC"/>
    <w:rsid w:val="00F04C8C"/>
    <w:rsid w:val="00F04F0D"/>
    <w:rsid w:val="00F05CC7"/>
    <w:rsid w:val="00F05FE6"/>
    <w:rsid w:val="00F06851"/>
    <w:rsid w:val="00F06F80"/>
    <w:rsid w:val="00F077AD"/>
    <w:rsid w:val="00F110CC"/>
    <w:rsid w:val="00F113AE"/>
    <w:rsid w:val="00F11574"/>
    <w:rsid w:val="00F125E8"/>
    <w:rsid w:val="00F13019"/>
    <w:rsid w:val="00F131C0"/>
    <w:rsid w:val="00F13822"/>
    <w:rsid w:val="00F1456A"/>
    <w:rsid w:val="00F15DA1"/>
    <w:rsid w:val="00F16C47"/>
    <w:rsid w:val="00F16CB6"/>
    <w:rsid w:val="00F17560"/>
    <w:rsid w:val="00F1795A"/>
    <w:rsid w:val="00F17B3E"/>
    <w:rsid w:val="00F17BFC"/>
    <w:rsid w:val="00F17F58"/>
    <w:rsid w:val="00F2002C"/>
    <w:rsid w:val="00F20788"/>
    <w:rsid w:val="00F20DD4"/>
    <w:rsid w:val="00F20FF6"/>
    <w:rsid w:val="00F21C72"/>
    <w:rsid w:val="00F21D84"/>
    <w:rsid w:val="00F2240F"/>
    <w:rsid w:val="00F225DF"/>
    <w:rsid w:val="00F22942"/>
    <w:rsid w:val="00F22FC5"/>
    <w:rsid w:val="00F247BC"/>
    <w:rsid w:val="00F24D56"/>
    <w:rsid w:val="00F250B9"/>
    <w:rsid w:val="00F2558D"/>
    <w:rsid w:val="00F2566F"/>
    <w:rsid w:val="00F25D55"/>
    <w:rsid w:val="00F26905"/>
    <w:rsid w:val="00F26C4C"/>
    <w:rsid w:val="00F276FE"/>
    <w:rsid w:val="00F3006D"/>
    <w:rsid w:val="00F300A5"/>
    <w:rsid w:val="00F3066F"/>
    <w:rsid w:val="00F3069B"/>
    <w:rsid w:val="00F30B99"/>
    <w:rsid w:val="00F31DA7"/>
    <w:rsid w:val="00F3272A"/>
    <w:rsid w:val="00F33103"/>
    <w:rsid w:val="00F33901"/>
    <w:rsid w:val="00F33EC0"/>
    <w:rsid w:val="00F349E0"/>
    <w:rsid w:val="00F34CD1"/>
    <w:rsid w:val="00F35D13"/>
    <w:rsid w:val="00F36369"/>
    <w:rsid w:val="00F36E66"/>
    <w:rsid w:val="00F37214"/>
    <w:rsid w:val="00F373B5"/>
    <w:rsid w:val="00F3740F"/>
    <w:rsid w:val="00F37453"/>
    <w:rsid w:val="00F37693"/>
    <w:rsid w:val="00F379DE"/>
    <w:rsid w:val="00F37F92"/>
    <w:rsid w:val="00F40593"/>
    <w:rsid w:val="00F41043"/>
    <w:rsid w:val="00F41A75"/>
    <w:rsid w:val="00F41DD1"/>
    <w:rsid w:val="00F42580"/>
    <w:rsid w:val="00F4262D"/>
    <w:rsid w:val="00F43003"/>
    <w:rsid w:val="00F436F2"/>
    <w:rsid w:val="00F43A45"/>
    <w:rsid w:val="00F4405A"/>
    <w:rsid w:val="00F44114"/>
    <w:rsid w:val="00F45365"/>
    <w:rsid w:val="00F45602"/>
    <w:rsid w:val="00F459F3"/>
    <w:rsid w:val="00F45BB0"/>
    <w:rsid w:val="00F45E46"/>
    <w:rsid w:val="00F46059"/>
    <w:rsid w:val="00F460C0"/>
    <w:rsid w:val="00F46671"/>
    <w:rsid w:val="00F46746"/>
    <w:rsid w:val="00F46F6F"/>
    <w:rsid w:val="00F471E2"/>
    <w:rsid w:val="00F4751B"/>
    <w:rsid w:val="00F47A67"/>
    <w:rsid w:val="00F50958"/>
    <w:rsid w:val="00F50DFE"/>
    <w:rsid w:val="00F50FD3"/>
    <w:rsid w:val="00F5103B"/>
    <w:rsid w:val="00F51055"/>
    <w:rsid w:val="00F51722"/>
    <w:rsid w:val="00F51825"/>
    <w:rsid w:val="00F51B65"/>
    <w:rsid w:val="00F51BC5"/>
    <w:rsid w:val="00F51E3B"/>
    <w:rsid w:val="00F51EBC"/>
    <w:rsid w:val="00F51F68"/>
    <w:rsid w:val="00F52F59"/>
    <w:rsid w:val="00F5337D"/>
    <w:rsid w:val="00F53E9C"/>
    <w:rsid w:val="00F54054"/>
    <w:rsid w:val="00F541B0"/>
    <w:rsid w:val="00F545E8"/>
    <w:rsid w:val="00F549F9"/>
    <w:rsid w:val="00F55CCF"/>
    <w:rsid w:val="00F5631B"/>
    <w:rsid w:val="00F56917"/>
    <w:rsid w:val="00F56B38"/>
    <w:rsid w:val="00F56CAC"/>
    <w:rsid w:val="00F57862"/>
    <w:rsid w:val="00F57D7F"/>
    <w:rsid w:val="00F60260"/>
    <w:rsid w:val="00F6045D"/>
    <w:rsid w:val="00F606B9"/>
    <w:rsid w:val="00F60E86"/>
    <w:rsid w:val="00F61155"/>
    <w:rsid w:val="00F61299"/>
    <w:rsid w:val="00F61AFB"/>
    <w:rsid w:val="00F61B48"/>
    <w:rsid w:val="00F628C0"/>
    <w:rsid w:val="00F63833"/>
    <w:rsid w:val="00F640F6"/>
    <w:rsid w:val="00F64D78"/>
    <w:rsid w:val="00F65491"/>
    <w:rsid w:val="00F6553C"/>
    <w:rsid w:val="00F65549"/>
    <w:rsid w:val="00F661D9"/>
    <w:rsid w:val="00F66845"/>
    <w:rsid w:val="00F66B7E"/>
    <w:rsid w:val="00F67324"/>
    <w:rsid w:val="00F67B66"/>
    <w:rsid w:val="00F67C39"/>
    <w:rsid w:val="00F67F74"/>
    <w:rsid w:val="00F710AD"/>
    <w:rsid w:val="00F716A1"/>
    <w:rsid w:val="00F71735"/>
    <w:rsid w:val="00F71AF5"/>
    <w:rsid w:val="00F71D48"/>
    <w:rsid w:val="00F72B3B"/>
    <w:rsid w:val="00F738AD"/>
    <w:rsid w:val="00F73B97"/>
    <w:rsid w:val="00F746F3"/>
    <w:rsid w:val="00F7498A"/>
    <w:rsid w:val="00F7537A"/>
    <w:rsid w:val="00F762D9"/>
    <w:rsid w:val="00F76735"/>
    <w:rsid w:val="00F76742"/>
    <w:rsid w:val="00F76814"/>
    <w:rsid w:val="00F77D58"/>
    <w:rsid w:val="00F77F46"/>
    <w:rsid w:val="00F80ED8"/>
    <w:rsid w:val="00F817FE"/>
    <w:rsid w:val="00F81E9D"/>
    <w:rsid w:val="00F82026"/>
    <w:rsid w:val="00F8282C"/>
    <w:rsid w:val="00F82EA4"/>
    <w:rsid w:val="00F82EDB"/>
    <w:rsid w:val="00F83086"/>
    <w:rsid w:val="00F84785"/>
    <w:rsid w:val="00F8584B"/>
    <w:rsid w:val="00F858F9"/>
    <w:rsid w:val="00F8703F"/>
    <w:rsid w:val="00F875D0"/>
    <w:rsid w:val="00F878FF"/>
    <w:rsid w:val="00F90900"/>
    <w:rsid w:val="00F90A32"/>
    <w:rsid w:val="00F913D4"/>
    <w:rsid w:val="00F91907"/>
    <w:rsid w:val="00F91AB4"/>
    <w:rsid w:val="00F91ABB"/>
    <w:rsid w:val="00F91EA0"/>
    <w:rsid w:val="00F92A8F"/>
    <w:rsid w:val="00F92CE3"/>
    <w:rsid w:val="00F93329"/>
    <w:rsid w:val="00F940FF"/>
    <w:rsid w:val="00F94AA0"/>
    <w:rsid w:val="00F95F46"/>
    <w:rsid w:val="00F962D9"/>
    <w:rsid w:val="00F96D92"/>
    <w:rsid w:val="00F97371"/>
    <w:rsid w:val="00F979C3"/>
    <w:rsid w:val="00FA1B96"/>
    <w:rsid w:val="00FA4217"/>
    <w:rsid w:val="00FA5ED3"/>
    <w:rsid w:val="00FA6950"/>
    <w:rsid w:val="00FA6A4F"/>
    <w:rsid w:val="00FA6D34"/>
    <w:rsid w:val="00FA6ED4"/>
    <w:rsid w:val="00FA73DC"/>
    <w:rsid w:val="00FA79B1"/>
    <w:rsid w:val="00FB008E"/>
    <w:rsid w:val="00FB01D4"/>
    <w:rsid w:val="00FB0AA8"/>
    <w:rsid w:val="00FB12E5"/>
    <w:rsid w:val="00FB1547"/>
    <w:rsid w:val="00FB1A0A"/>
    <w:rsid w:val="00FB26E1"/>
    <w:rsid w:val="00FB283C"/>
    <w:rsid w:val="00FB2B9B"/>
    <w:rsid w:val="00FB2BCA"/>
    <w:rsid w:val="00FB3363"/>
    <w:rsid w:val="00FB3E49"/>
    <w:rsid w:val="00FB49F5"/>
    <w:rsid w:val="00FB6201"/>
    <w:rsid w:val="00FB64C1"/>
    <w:rsid w:val="00FB737B"/>
    <w:rsid w:val="00FB73DC"/>
    <w:rsid w:val="00FB7BD7"/>
    <w:rsid w:val="00FC0CC1"/>
    <w:rsid w:val="00FC0E90"/>
    <w:rsid w:val="00FC0FF9"/>
    <w:rsid w:val="00FC1185"/>
    <w:rsid w:val="00FC11B0"/>
    <w:rsid w:val="00FC1F90"/>
    <w:rsid w:val="00FC29C0"/>
    <w:rsid w:val="00FC2BED"/>
    <w:rsid w:val="00FC307A"/>
    <w:rsid w:val="00FC5285"/>
    <w:rsid w:val="00FC534F"/>
    <w:rsid w:val="00FC5954"/>
    <w:rsid w:val="00FC59E5"/>
    <w:rsid w:val="00FC5E42"/>
    <w:rsid w:val="00FC5EE0"/>
    <w:rsid w:val="00FC6040"/>
    <w:rsid w:val="00FC6115"/>
    <w:rsid w:val="00FC62BC"/>
    <w:rsid w:val="00FC6EBF"/>
    <w:rsid w:val="00FC75A2"/>
    <w:rsid w:val="00FC7A9F"/>
    <w:rsid w:val="00FD0741"/>
    <w:rsid w:val="00FD0A8E"/>
    <w:rsid w:val="00FD118A"/>
    <w:rsid w:val="00FD18F6"/>
    <w:rsid w:val="00FD1BB5"/>
    <w:rsid w:val="00FD1BF3"/>
    <w:rsid w:val="00FD1C9A"/>
    <w:rsid w:val="00FD242E"/>
    <w:rsid w:val="00FD25BE"/>
    <w:rsid w:val="00FD314C"/>
    <w:rsid w:val="00FD42E8"/>
    <w:rsid w:val="00FD4963"/>
    <w:rsid w:val="00FD6437"/>
    <w:rsid w:val="00FD66FA"/>
    <w:rsid w:val="00FD6C06"/>
    <w:rsid w:val="00FD6F38"/>
    <w:rsid w:val="00FD710B"/>
    <w:rsid w:val="00FD76EE"/>
    <w:rsid w:val="00FD7B64"/>
    <w:rsid w:val="00FE0379"/>
    <w:rsid w:val="00FE0513"/>
    <w:rsid w:val="00FE0778"/>
    <w:rsid w:val="00FE09E6"/>
    <w:rsid w:val="00FE0AEF"/>
    <w:rsid w:val="00FE13A9"/>
    <w:rsid w:val="00FE222F"/>
    <w:rsid w:val="00FE45C8"/>
    <w:rsid w:val="00FE47EC"/>
    <w:rsid w:val="00FE4A63"/>
    <w:rsid w:val="00FE5856"/>
    <w:rsid w:val="00FE5A16"/>
    <w:rsid w:val="00FE6680"/>
    <w:rsid w:val="00FE6A8C"/>
    <w:rsid w:val="00FE73D5"/>
    <w:rsid w:val="00FE7700"/>
    <w:rsid w:val="00FE7E39"/>
    <w:rsid w:val="00FF13CC"/>
    <w:rsid w:val="00FF20B1"/>
    <w:rsid w:val="00FF2547"/>
    <w:rsid w:val="00FF27C6"/>
    <w:rsid w:val="00FF31C8"/>
    <w:rsid w:val="00FF32BE"/>
    <w:rsid w:val="00FF3569"/>
    <w:rsid w:val="00FF51B1"/>
    <w:rsid w:val="00FF5430"/>
    <w:rsid w:val="00FF724C"/>
    <w:rsid w:val="01203EBB"/>
    <w:rsid w:val="01207B59"/>
    <w:rsid w:val="013A7B80"/>
    <w:rsid w:val="016F6C93"/>
    <w:rsid w:val="0195685A"/>
    <w:rsid w:val="01D950F6"/>
    <w:rsid w:val="01F56D7A"/>
    <w:rsid w:val="01FA2005"/>
    <w:rsid w:val="023F0464"/>
    <w:rsid w:val="02A83247"/>
    <w:rsid w:val="02DE5ECF"/>
    <w:rsid w:val="035238E4"/>
    <w:rsid w:val="039A3ED8"/>
    <w:rsid w:val="03A8701E"/>
    <w:rsid w:val="03BA2CC2"/>
    <w:rsid w:val="041658A8"/>
    <w:rsid w:val="04781A0B"/>
    <w:rsid w:val="047B4ECF"/>
    <w:rsid w:val="0492590D"/>
    <w:rsid w:val="04F05A45"/>
    <w:rsid w:val="04F86BA8"/>
    <w:rsid w:val="055E1038"/>
    <w:rsid w:val="05612CD8"/>
    <w:rsid w:val="05BB42A5"/>
    <w:rsid w:val="05BC4131"/>
    <w:rsid w:val="05E82A41"/>
    <w:rsid w:val="061101D4"/>
    <w:rsid w:val="06662DE7"/>
    <w:rsid w:val="06742B51"/>
    <w:rsid w:val="06982838"/>
    <w:rsid w:val="069C5F6F"/>
    <w:rsid w:val="06BC2299"/>
    <w:rsid w:val="06BC43FD"/>
    <w:rsid w:val="06D5137F"/>
    <w:rsid w:val="07342561"/>
    <w:rsid w:val="07C765C2"/>
    <w:rsid w:val="08311597"/>
    <w:rsid w:val="085152E6"/>
    <w:rsid w:val="085D3543"/>
    <w:rsid w:val="086A2EDA"/>
    <w:rsid w:val="08896BA5"/>
    <w:rsid w:val="08BA07A0"/>
    <w:rsid w:val="08C2594B"/>
    <w:rsid w:val="09073675"/>
    <w:rsid w:val="09893DB1"/>
    <w:rsid w:val="098E15D7"/>
    <w:rsid w:val="09AD0CC7"/>
    <w:rsid w:val="09BA7D0B"/>
    <w:rsid w:val="09F21F44"/>
    <w:rsid w:val="09FB55B8"/>
    <w:rsid w:val="0A41496A"/>
    <w:rsid w:val="0A6A5D37"/>
    <w:rsid w:val="0A9A1D93"/>
    <w:rsid w:val="0AD864E4"/>
    <w:rsid w:val="0AE767A0"/>
    <w:rsid w:val="0B165359"/>
    <w:rsid w:val="0B1A43A3"/>
    <w:rsid w:val="0B1D3AD1"/>
    <w:rsid w:val="0B1D55AA"/>
    <w:rsid w:val="0B8E54A8"/>
    <w:rsid w:val="0B995A5C"/>
    <w:rsid w:val="0BD57D55"/>
    <w:rsid w:val="0BEB2FB1"/>
    <w:rsid w:val="0CAF414C"/>
    <w:rsid w:val="0CD36378"/>
    <w:rsid w:val="0CEA36C2"/>
    <w:rsid w:val="0D6D6855"/>
    <w:rsid w:val="0DC82AB8"/>
    <w:rsid w:val="0DE20392"/>
    <w:rsid w:val="0DEE2D3E"/>
    <w:rsid w:val="0DF51436"/>
    <w:rsid w:val="0E04759A"/>
    <w:rsid w:val="0E0A5DCA"/>
    <w:rsid w:val="0E283C53"/>
    <w:rsid w:val="0E3D12C7"/>
    <w:rsid w:val="0E474B31"/>
    <w:rsid w:val="0E9D4B43"/>
    <w:rsid w:val="0ED44FC7"/>
    <w:rsid w:val="0EE7403C"/>
    <w:rsid w:val="0F0C4B39"/>
    <w:rsid w:val="0F0F4D3B"/>
    <w:rsid w:val="0F274028"/>
    <w:rsid w:val="0F2759E5"/>
    <w:rsid w:val="0F2859B9"/>
    <w:rsid w:val="0F2E1E59"/>
    <w:rsid w:val="0F7E3778"/>
    <w:rsid w:val="0F8004BB"/>
    <w:rsid w:val="0FB071DF"/>
    <w:rsid w:val="0FEA20EF"/>
    <w:rsid w:val="1054175E"/>
    <w:rsid w:val="10706109"/>
    <w:rsid w:val="10914FFE"/>
    <w:rsid w:val="10B44742"/>
    <w:rsid w:val="113A5579"/>
    <w:rsid w:val="117C0542"/>
    <w:rsid w:val="117E6579"/>
    <w:rsid w:val="119725BB"/>
    <w:rsid w:val="11A42BB3"/>
    <w:rsid w:val="11CD1C9B"/>
    <w:rsid w:val="11DF3786"/>
    <w:rsid w:val="11F30DC5"/>
    <w:rsid w:val="121F796A"/>
    <w:rsid w:val="123C1345"/>
    <w:rsid w:val="12817F15"/>
    <w:rsid w:val="12B04A66"/>
    <w:rsid w:val="12EF27DA"/>
    <w:rsid w:val="12F57DD8"/>
    <w:rsid w:val="136612C3"/>
    <w:rsid w:val="13E2127B"/>
    <w:rsid w:val="13F015BE"/>
    <w:rsid w:val="14006EA0"/>
    <w:rsid w:val="14105EB0"/>
    <w:rsid w:val="145A7080"/>
    <w:rsid w:val="14894E98"/>
    <w:rsid w:val="149573A7"/>
    <w:rsid w:val="14C97AA2"/>
    <w:rsid w:val="15063646"/>
    <w:rsid w:val="15087518"/>
    <w:rsid w:val="1546345F"/>
    <w:rsid w:val="15682AA6"/>
    <w:rsid w:val="15A1686E"/>
    <w:rsid w:val="15AE3565"/>
    <w:rsid w:val="15B81E09"/>
    <w:rsid w:val="15C37F6E"/>
    <w:rsid w:val="161E3CC0"/>
    <w:rsid w:val="16214089"/>
    <w:rsid w:val="164F74F9"/>
    <w:rsid w:val="16DF1C51"/>
    <w:rsid w:val="17502C0E"/>
    <w:rsid w:val="17FE7CDB"/>
    <w:rsid w:val="183045A5"/>
    <w:rsid w:val="18491BE4"/>
    <w:rsid w:val="186F5470"/>
    <w:rsid w:val="18C576D2"/>
    <w:rsid w:val="191343F5"/>
    <w:rsid w:val="193338F7"/>
    <w:rsid w:val="193A32DB"/>
    <w:rsid w:val="19725DD5"/>
    <w:rsid w:val="1A6B04CE"/>
    <w:rsid w:val="1A80748F"/>
    <w:rsid w:val="1A9A579C"/>
    <w:rsid w:val="1AA136CC"/>
    <w:rsid w:val="1ABA2925"/>
    <w:rsid w:val="1AD71BC7"/>
    <w:rsid w:val="1ADC2F19"/>
    <w:rsid w:val="1AFE3854"/>
    <w:rsid w:val="1B23671D"/>
    <w:rsid w:val="1B3274A2"/>
    <w:rsid w:val="1BB22D21"/>
    <w:rsid w:val="1BF23F7C"/>
    <w:rsid w:val="1C3C20D4"/>
    <w:rsid w:val="1C3D5A92"/>
    <w:rsid w:val="1D5369D2"/>
    <w:rsid w:val="1DB45D52"/>
    <w:rsid w:val="1E014B26"/>
    <w:rsid w:val="1EA145F0"/>
    <w:rsid w:val="1EC23455"/>
    <w:rsid w:val="1EC70C6B"/>
    <w:rsid w:val="1EF04B68"/>
    <w:rsid w:val="1F371C2F"/>
    <w:rsid w:val="1F527756"/>
    <w:rsid w:val="1F7D3F22"/>
    <w:rsid w:val="1F940C3D"/>
    <w:rsid w:val="1FA140B4"/>
    <w:rsid w:val="1FA5265D"/>
    <w:rsid w:val="1FAF0BB3"/>
    <w:rsid w:val="1FF71342"/>
    <w:rsid w:val="202A6865"/>
    <w:rsid w:val="20413686"/>
    <w:rsid w:val="20DB1877"/>
    <w:rsid w:val="20DD2ECA"/>
    <w:rsid w:val="20F6344B"/>
    <w:rsid w:val="20FC53CE"/>
    <w:rsid w:val="21BC55BD"/>
    <w:rsid w:val="21C432BD"/>
    <w:rsid w:val="21D73D66"/>
    <w:rsid w:val="220B4D17"/>
    <w:rsid w:val="22277ED6"/>
    <w:rsid w:val="2299657C"/>
    <w:rsid w:val="22BE47BA"/>
    <w:rsid w:val="22DB1410"/>
    <w:rsid w:val="22E414EB"/>
    <w:rsid w:val="232841D4"/>
    <w:rsid w:val="23915A9E"/>
    <w:rsid w:val="239E0527"/>
    <w:rsid w:val="23BF27AF"/>
    <w:rsid w:val="23C20825"/>
    <w:rsid w:val="23C56A7F"/>
    <w:rsid w:val="23D74548"/>
    <w:rsid w:val="23DC0EEC"/>
    <w:rsid w:val="23F8626D"/>
    <w:rsid w:val="240128C0"/>
    <w:rsid w:val="242B6642"/>
    <w:rsid w:val="24540840"/>
    <w:rsid w:val="247A0118"/>
    <w:rsid w:val="247B2B17"/>
    <w:rsid w:val="24B4D623"/>
    <w:rsid w:val="24EF3434"/>
    <w:rsid w:val="254E25E8"/>
    <w:rsid w:val="25533BBB"/>
    <w:rsid w:val="259572E3"/>
    <w:rsid w:val="259D1F7B"/>
    <w:rsid w:val="260D3FC7"/>
    <w:rsid w:val="262F2D0A"/>
    <w:rsid w:val="26375AAF"/>
    <w:rsid w:val="267157B6"/>
    <w:rsid w:val="26896042"/>
    <w:rsid w:val="26F07CA0"/>
    <w:rsid w:val="26F10B88"/>
    <w:rsid w:val="270B22EB"/>
    <w:rsid w:val="27177520"/>
    <w:rsid w:val="276B2E11"/>
    <w:rsid w:val="276C0768"/>
    <w:rsid w:val="27A67A03"/>
    <w:rsid w:val="27BA0A36"/>
    <w:rsid w:val="27DD4678"/>
    <w:rsid w:val="27F57536"/>
    <w:rsid w:val="2804263C"/>
    <w:rsid w:val="2875173D"/>
    <w:rsid w:val="289E23F3"/>
    <w:rsid w:val="28B60BD0"/>
    <w:rsid w:val="28B72AAF"/>
    <w:rsid w:val="28CE41A6"/>
    <w:rsid w:val="28CF4308"/>
    <w:rsid w:val="293A6FEB"/>
    <w:rsid w:val="29581178"/>
    <w:rsid w:val="29BEB437"/>
    <w:rsid w:val="29D87559"/>
    <w:rsid w:val="29F04D2F"/>
    <w:rsid w:val="2A093583"/>
    <w:rsid w:val="2A32072A"/>
    <w:rsid w:val="2A9211C9"/>
    <w:rsid w:val="2AA02B0E"/>
    <w:rsid w:val="2AA336EC"/>
    <w:rsid w:val="2AFA1016"/>
    <w:rsid w:val="2B354727"/>
    <w:rsid w:val="2B427967"/>
    <w:rsid w:val="2B443DFB"/>
    <w:rsid w:val="2B5325AD"/>
    <w:rsid w:val="2B6D3EBD"/>
    <w:rsid w:val="2B6E5792"/>
    <w:rsid w:val="2B895973"/>
    <w:rsid w:val="2B8D3A26"/>
    <w:rsid w:val="2BCE0564"/>
    <w:rsid w:val="2CEB4BC0"/>
    <w:rsid w:val="2CF41F8B"/>
    <w:rsid w:val="2CFB5F26"/>
    <w:rsid w:val="2D0D05FE"/>
    <w:rsid w:val="2D792AA0"/>
    <w:rsid w:val="2D9D5EF8"/>
    <w:rsid w:val="2DA28150"/>
    <w:rsid w:val="2E60513A"/>
    <w:rsid w:val="2E640EE2"/>
    <w:rsid w:val="2E6B5FC0"/>
    <w:rsid w:val="2E872A16"/>
    <w:rsid w:val="2E87322E"/>
    <w:rsid w:val="2F1474CF"/>
    <w:rsid w:val="2F217151"/>
    <w:rsid w:val="2F4C3D05"/>
    <w:rsid w:val="2FC01583"/>
    <w:rsid w:val="2FC608B7"/>
    <w:rsid w:val="2FE844EF"/>
    <w:rsid w:val="300F69FE"/>
    <w:rsid w:val="30504A11"/>
    <w:rsid w:val="305B528A"/>
    <w:rsid w:val="30886037"/>
    <w:rsid w:val="30A1575F"/>
    <w:rsid w:val="30FA6CF6"/>
    <w:rsid w:val="31B1462B"/>
    <w:rsid w:val="322F7824"/>
    <w:rsid w:val="32667028"/>
    <w:rsid w:val="327025C6"/>
    <w:rsid w:val="3295541B"/>
    <w:rsid w:val="32957C85"/>
    <w:rsid w:val="32D97A24"/>
    <w:rsid w:val="32EF49B9"/>
    <w:rsid w:val="32FD1915"/>
    <w:rsid w:val="3355548A"/>
    <w:rsid w:val="33593A3B"/>
    <w:rsid w:val="33D9655A"/>
    <w:rsid w:val="33DE36C7"/>
    <w:rsid w:val="341674CA"/>
    <w:rsid w:val="34215A42"/>
    <w:rsid w:val="342F4D61"/>
    <w:rsid w:val="34E56C12"/>
    <w:rsid w:val="350D02F0"/>
    <w:rsid w:val="355E0668"/>
    <w:rsid w:val="35AB2CA8"/>
    <w:rsid w:val="360B2F38"/>
    <w:rsid w:val="36684F00"/>
    <w:rsid w:val="370F335E"/>
    <w:rsid w:val="3768578B"/>
    <w:rsid w:val="378402F8"/>
    <w:rsid w:val="37882F80"/>
    <w:rsid w:val="378F6651"/>
    <w:rsid w:val="37965FCD"/>
    <w:rsid w:val="38182D83"/>
    <w:rsid w:val="38274936"/>
    <w:rsid w:val="384E5399"/>
    <w:rsid w:val="386D241A"/>
    <w:rsid w:val="38AE3570"/>
    <w:rsid w:val="38C33ED6"/>
    <w:rsid w:val="38CE61CA"/>
    <w:rsid w:val="39213309"/>
    <w:rsid w:val="395064D7"/>
    <w:rsid w:val="39DB6F54"/>
    <w:rsid w:val="3A25250F"/>
    <w:rsid w:val="3A331955"/>
    <w:rsid w:val="3A662573"/>
    <w:rsid w:val="3A8D328E"/>
    <w:rsid w:val="3AA50C39"/>
    <w:rsid w:val="3ADD3CFD"/>
    <w:rsid w:val="3B027384"/>
    <w:rsid w:val="3B256C4E"/>
    <w:rsid w:val="3B5D7CD7"/>
    <w:rsid w:val="3C0B508A"/>
    <w:rsid w:val="3C30372A"/>
    <w:rsid w:val="3C552056"/>
    <w:rsid w:val="3C9402AF"/>
    <w:rsid w:val="3CC002C3"/>
    <w:rsid w:val="3CC1149A"/>
    <w:rsid w:val="3CD36ADC"/>
    <w:rsid w:val="3CF230F2"/>
    <w:rsid w:val="3D792331"/>
    <w:rsid w:val="3D960E61"/>
    <w:rsid w:val="3DA27094"/>
    <w:rsid w:val="3DA520CC"/>
    <w:rsid w:val="3DD82039"/>
    <w:rsid w:val="3DF22091"/>
    <w:rsid w:val="3E171CB9"/>
    <w:rsid w:val="3E2E7433"/>
    <w:rsid w:val="3E42529E"/>
    <w:rsid w:val="3E5C6C61"/>
    <w:rsid w:val="3E8C7A26"/>
    <w:rsid w:val="3ECC7018"/>
    <w:rsid w:val="3F055894"/>
    <w:rsid w:val="3F255D10"/>
    <w:rsid w:val="3F516629"/>
    <w:rsid w:val="3F532B7F"/>
    <w:rsid w:val="3F855198"/>
    <w:rsid w:val="400C5122"/>
    <w:rsid w:val="404B3E9C"/>
    <w:rsid w:val="405707BC"/>
    <w:rsid w:val="406A4161"/>
    <w:rsid w:val="406D7300"/>
    <w:rsid w:val="40DF25DF"/>
    <w:rsid w:val="40FF35C1"/>
    <w:rsid w:val="41361FC0"/>
    <w:rsid w:val="41A247DA"/>
    <w:rsid w:val="41B70E05"/>
    <w:rsid w:val="41C012FF"/>
    <w:rsid w:val="41E10C70"/>
    <w:rsid w:val="42333557"/>
    <w:rsid w:val="429A0303"/>
    <w:rsid w:val="42E3702F"/>
    <w:rsid w:val="431C1B20"/>
    <w:rsid w:val="432804C5"/>
    <w:rsid w:val="43505326"/>
    <w:rsid w:val="43511F37"/>
    <w:rsid w:val="43888190"/>
    <w:rsid w:val="43D41C86"/>
    <w:rsid w:val="4492788B"/>
    <w:rsid w:val="450B5E5E"/>
    <w:rsid w:val="4522431B"/>
    <w:rsid w:val="452F03A4"/>
    <w:rsid w:val="454F2009"/>
    <w:rsid w:val="45801129"/>
    <w:rsid w:val="45F44B43"/>
    <w:rsid w:val="47190747"/>
    <w:rsid w:val="472921D1"/>
    <w:rsid w:val="47385A50"/>
    <w:rsid w:val="47F2C001"/>
    <w:rsid w:val="4800731A"/>
    <w:rsid w:val="48304DC3"/>
    <w:rsid w:val="48333BF9"/>
    <w:rsid w:val="48437CB3"/>
    <w:rsid w:val="48651873"/>
    <w:rsid w:val="4891428A"/>
    <w:rsid w:val="489F0449"/>
    <w:rsid w:val="48B80813"/>
    <w:rsid w:val="48BF2D31"/>
    <w:rsid w:val="48C43EB8"/>
    <w:rsid w:val="490177EE"/>
    <w:rsid w:val="490D017D"/>
    <w:rsid w:val="493C6B2A"/>
    <w:rsid w:val="496F799A"/>
    <w:rsid w:val="497A6748"/>
    <w:rsid w:val="49D61A36"/>
    <w:rsid w:val="49E51FED"/>
    <w:rsid w:val="4A2675EB"/>
    <w:rsid w:val="4A677570"/>
    <w:rsid w:val="4AD12B24"/>
    <w:rsid w:val="4B103655"/>
    <w:rsid w:val="4B285638"/>
    <w:rsid w:val="4B5F6A4E"/>
    <w:rsid w:val="4B8C2A00"/>
    <w:rsid w:val="4BEB6533"/>
    <w:rsid w:val="4C76404E"/>
    <w:rsid w:val="4C7B446F"/>
    <w:rsid w:val="4C821E99"/>
    <w:rsid w:val="4C911571"/>
    <w:rsid w:val="4C9E19C0"/>
    <w:rsid w:val="4CC60394"/>
    <w:rsid w:val="4CDF7A1B"/>
    <w:rsid w:val="4CE511D4"/>
    <w:rsid w:val="4D001B6A"/>
    <w:rsid w:val="4D1D096E"/>
    <w:rsid w:val="4D2C439F"/>
    <w:rsid w:val="4D457367"/>
    <w:rsid w:val="4D51587D"/>
    <w:rsid w:val="4DA60964"/>
    <w:rsid w:val="4DA91EAD"/>
    <w:rsid w:val="4DC71B74"/>
    <w:rsid w:val="4E272CD8"/>
    <w:rsid w:val="4E387C78"/>
    <w:rsid w:val="4E4A12EF"/>
    <w:rsid w:val="4E6C5FF6"/>
    <w:rsid w:val="4E8746FC"/>
    <w:rsid w:val="4F483592"/>
    <w:rsid w:val="4F5C75FB"/>
    <w:rsid w:val="4FAE11FC"/>
    <w:rsid w:val="4FBA6DB9"/>
    <w:rsid w:val="4FCF53F6"/>
    <w:rsid w:val="4FD33681"/>
    <w:rsid w:val="4FEF09F4"/>
    <w:rsid w:val="51056EE7"/>
    <w:rsid w:val="513F14E2"/>
    <w:rsid w:val="514868EE"/>
    <w:rsid w:val="51645273"/>
    <w:rsid w:val="516C4956"/>
    <w:rsid w:val="51710677"/>
    <w:rsid w:val="51722FF6"/>
    <w:rsid w:val="519C5369"/>
    <w:rsid w:val="51AE67CB"/>
    <w:rsid w:val="51B1099B"/>
    <w:rsid w:val="51F37EF0"/>
    <w:rsid w:val="526D3D56"/>
    <w:rsid w:val="528B6F1A"/>
    <w:rsid w:val="52D47AC0"/>
    <w:rsid w:val="53106DAB"/>
    <w:rsid w:val="53393CDD"/>
    <w:rsid w:val="536F1A94"/>
    <w:rsid w:val="538750C5"/>
    <w:rsid w:val="5396417F"/>
    <w:rsid w:val="53DF4FBD"/>
    <w:rsid w:val="542227EB"/>
    <w:rsid w:val="54224EA2"/>
    <w:rsid w:val="545155B0"/>
    <w:rsid w:val="545F6C51"/>
    <w:rsid w:val="547E7DFE"/>
    <w:rsid w:val="54877424"/>
    <w:rsid w:val="54941CE7"/>
    <w:rsid w:val="54ED1452"/>
    <w:rsid w:val="55004972"/>
    <w:rsid w:val="5571600D"/>
    <w:rsid w:val="557D3FF6"/>
    <w:rsid w:val="55940C7D"/>
    <w:rsid w:val="568B745F"/>
    <w:rsid w:val="56A50CDA"/>
    <w:rsid w:val="56B7227D"/>
    <w:rsid w:val="56E32C4A"/>
    <w:rsid w:val="579E6214"/>
    <w:rsid w:val="57B56E2E"/>
    <w:rsid w:val="57DC25C0"/>
    <w:rsid w:val="583F72D1"/>
    <w:rsid w:val="58690ACE"/>
    <w:rsid w:val="58936E63"/>
    <w:rsid w:val="58A41F44"/>
    <w:rsid w:val="5983075C"/>
    <w:rsid w:val="599A6ECA"/>
    <w:rsid w:val="5A0F25CF"/>
    <w:rsid w:val="5A1620C7"/>
    <w:rsid w:val="5A443198"/>
    <w:rsid w:val="5A4A649C"/>
    <w:rsid w:val="5A6873CB"/>
    <w:rsid w:val="5A93401E"/>
    <w:rsid w:val="5AC864B9"/>
    <w:rsid w:val="5BA63950"/>
    <w:rsid w:val="5BA67D5B"/>
    <w:rsid w:val="5BEA26D7"/>
    <w:rsid w:val="5C574AC3"/>
    <w:rsid w:val="5C7F6ACD"/>
    <w:rsid w:val="5CC57500"/>
    <w:rsid w:val="5CF74D38"/>
    <w:rsid w:val="5D013627"/>
    <w:rsid w:val="5D2D66DB"/>
    <w:rsid w:val="5D4A4C0E"/>
    <w:rsid w:val="5D591C96"/>
    <w:rsid w:val="5D7D0394"/>
    <w:rsid w:val="5E1F4186"/>
    <w:rsid w:val="5E346DD4"/>
    <w:rsid w:val="5E490508"/>
    <w:rsid w:val="5E4D7F51"/>
    <w:rsid w:val="5E6847AF"/>
    <w:rsid w:val="5E6D1506"/>
    <w:rsid w:val="5E7D5C8E"/>
    <w:rsid w:val="5E826883"/>
    <w:rsid w:val="5EB83F07"/>
    <w:rsid w:val="5EE22509"/>
    <w:rsid w:val="5F6D177F"/>
    <w:rsid w:val="5FB85D1F"/>
    <w:rsid w:val="5FC41C75"/>
    <w:rsid w:val="5FDD42D4"/>
    <w:rsid w:val="5FF1132B"/>
    <w:rsid w:val="60314F4C"/>
    <w:rsid w:val="60606896"/>
    <w:rsid w:val="606E5265"/>
    <w:rsid w:val="60B2358D"/>
    <w:rsid w:val="60EB1C49"/>
    <w:rsid w:val="610B690B"/>
    <w:rsid w:val="615A7643"/>
    <w:rsid w:val="620333B0"/>
    <w:rsid w:val="624F2E86"/>
    <w:rsid w:val="62661064"/>
    <w:rsid w:val="627C6F22"/>
    <w:rsid w:val="62980D34"/>
    <w:rsid w:val="629871C2"/>
    <w:rsid w:val="62A438D3"/>
    <w:rsid w:val="62B96FE1"/>
    <w:rsid w:val="62F13FD7"/>
    <w:rsid w:val="62FF38E1"/>
    <w:rsid w:val="63702777"/>
    <w:rsid w:val="63A10E0E"/>
    <w:rsid w:val="63AE631B"/>
    <w:rsid w:val="63CF7B03"/>
    <w:rsid w:val="64260118"/>
    <w:rsid w:val="64541F40"/>
    <w:rsid w:val="64571E7C"/>
    <w:rsid w:val="649545A1"/>
    <w:rsid w:val="64B809E2"/>
    <w:rsid w:val="64D97E55"/>
    <w:rsid w:val="65363F24"/>
    <w:rsid w:val="656674FB"/>
    <w:rsid w:val="65E2470D"/>
    <w:rsid w:val="65E669EC"/>
    <w:rsid w:val="65F34FBD"/>
    <w:rsid w:val="66267799"/>
    <w:rsid w:val="66406C8C"/>
    <w:rsid w:val="66600BF4"/>
    <w:rsid w:val="66682803"/>
    <w:rsid w:val="668533B4"/>
    <w:rsid w:val="668C40BB"/>
    <w:rsid w:val="66D2001B"/>
    <w:rsid w:val="66FB20D6"/>
    <w:rsid w:val="670D07E4"/>
    <w:rsid w:val="6710511B"/>
    <w:rsid w:val="67157A1D"/>
    <w:rsid w:val="671E0FBA"/>
    <w:rsid w:val="67730C4D"/>
    <w:rsid w:val="677F21CC"/>
    <w:rsid w:val="679D1154"/>
    <w:rsid w:val="67CE48E7"/>
    <w:rsid w:val="67D07BF0"/>
    <w:rsid w:val="67DD7FE3"/>
    <w:rsid w:val="67F53CE1"/>
    <w:rsid w:val="68545F91"/>
    <w:rsid w:val="68581B13"/>
    <w:rsid w:val="686102B9"/>
    <w:rsid w:val="68760D47"/>
    <w:rsid w:val="688F4ACB"/>
    <w:rsid w:val="6944270F"/>
    <w:rsid w:val="69B91BB0"/>
    <w:rsid w:val="6AAF6251"/>
    <w:rsid w:val="6AC53691"/>
    <w:rsid w:val="6B173EB2"/>
    <w:rsid w:val="6B824E99"/>
    <w:rsid w:val="6B9B5B54"/>
    <w:rsid w:val="6BF14162"/>
    <w:rsid w:val="6BFEB562"/>
    <w:rsid w:val="6C223454"/>
    <w:rsid w:val="6C414AB2"/>
    <w:rsid w:val="6C762ED5"/>
    <w:rsid w:val="6CAB3449"/>
    <w:rsid w:val="6CBC1E15"/>
    <w:rsid w:val="6CD3474E"/>
    <w:rsid w:val="6CFC4C38"/>
    <w:rsid w:val="6D0C3CFA"/>
    <w:rsid w:val="6D0C53FA"/>
    <w:rsid w:val="6D192AA9"/>
    <w:rsid w:val="6D2505DB"/>
    <w:rsid w:val="6D760048"/>
    <w:rsid w:val="6DB620A5"/>
    <w:rsid w:val="6DD30EA9"/>
    <w:rsid w:val="6DF6BB41"/>
    <w:rsid w:val="6E365989"/>
    <w:rsid w:val="6E5A5127"/>
    <w:rsid w:val="6E6733CC"/>
    <w:rsid w:val="6E7041FB"/>
    <w:rsid w:val="6EA501C4"/>
    <w:rsid w:val="6EC5569C"/>
    <w:rsid w:val="6EEC6DFC"/>
    <w:rsid w:val="6F052E6B"/>
    <w:rsid w:val="6F056630"/>
    <w:rsid w:val="6F265009"/>
    <w:rsid w:val="6F402749"/>
    <w:rsid w:val="6F59759F"/>
    <w:rsid w:val="6F7001F4"/>
    <w:rsid w:val="6F768DD2"/>
    <w:rsid w:val="6FB61452"/>
    <w:rsid w:val="6FE335BD"/>
    <w:rsid w:val="6FE767F1"/>
    <w:rsid w:val="6FEF4336"/>
    <w:rsid w:val="701B6B38"/>
    <w:rsid w:val="701D3DDF"/>
    <w:rsid w:val="701D640C"/>
    <w:rsid w:val="70297A24"/>
    <w:rsid w:val="70C76A29"/>
    <w:rsid w:val="70C803F5"/>
    <w:rsid w:val="71076B7E"/>
    <w:rsid w:val="711F38A9"/>
    <w:rsid w:val="71211921"/>
    <w:rsid w:val="712B0BDB"/>
    <w:rsid w:val="71633523"/>
    <w:rsid w:val="71642515"/>
    <w:rsid w:val="71733A4D"/>
    <w:rsid w:val="71AC4B85"/>
    <w:rsid w:val="71B40FF2"/>
    <w:rsid w:val="71EA5B48"/>
    <w:rsid w:val="71F159DB"/>
    <w:rsid w:val="720A5F5B"/>
    <w:rsid w:val="7235153D"/>
    <w:rsid w:val="72400836"/>
    <w:rsid w:val="72C13030"/>
    <w:rsid w:val="72C42A56"/>
    <w:rsid w:val="72D30D83"/>
    <w:rsid w:val="72F02B78"/>
    <w:rsid w:val="73394D7D"/>
    <w:rsid w:val="73642743"/>
    <w:rsid w:val="736A6B01"/>
    <w:rsid w:val="73A60330"/>
    <w:rsid w:val="73A612D7"/>
    <w:rsid w:val="73A62BBC"/>
    <w:rsid w:val="747316A8"/>
    <w:rsid w:val="75483782"/>
    <w:rsid w:val="75897D5B"/>
    <w:rsid w:val="75913708"/>
    <w:rsid w:val="75AA3F0F"/>
    <w:rsid w:val="75C5050B"/>
    <w:rsid w:val="75DB4D9F"/>
    <w:rsid w:val="76212184"/>
    <w:rsid w:val="767410C7"/>
    <w:rsid w:val="76974C3B"/>
    <w:rsid w:val="76B22232"/>
    <w:rsid w:val="76CC2CFF"/>
    <w:rsid w:val="771865D2"/>
    <w:rsid w:val="772F0774"/>
    <w:rsid w:val="776D0A7D"/>
    <w:rsid w:val="77846810"/>
    <w:rsid w:val="77892781"/>
    <w:rsid w:val="77A411C1"/>
    <w:rsid w:val="77E617D9"/>
    <w:rsid w:val="78151987"/>
    <w:rsid w:val="787E7E59"/>
    <w:rsid w:val="789C5F68"/>
    <w:rsid w:val="78A8674C"/>
    <w:rsid w:val="78FB3062"/>
    <w:rsid w:val="791F1552"/>
    <w:rsid w:val="7942768C"/>
    <w:rsid w:val="7966337A"/>
    <w:rsid w:val="79871516"/>
    <w:rsid w:val="79CB5C60"/>
    <w:rsid w:val="7A232035"/>
    <w:rsid w:val="7A3562E6"/>
    <w:rsid w:val="7A4B1CC5"/>
    <w:rsid w:val="7A4B32C7"/>
    <w:rsid w:val="7A6C06BC"/>
    <w:rsid w:val="7A6F67AC"/>
    <w:rsid w:val="7AC163BB"/>
    <w:rsid w:val="7AD4482E"/>
    <w:rsid w:val="7B5C6399"/>
    <w:rsid w:val="7BF51EAC"/>
    <w:rsid w:val="7BFF10BB"/>
    <w:rsid w:val="7D5F1FA6"/>
    <w:rsid w:val="7D96066F"/>
    <w:rsid w:val="7DC160A2"/>
    <w:rsid w:val="7DDE2267"/>
    <w:rsid w:val="7E2E148F"/>
    <w:rsid w:val="7E717A18"/>
    <w:rsid w:val="7E7C6352"/>
    <w:rsid w:val="7E89142D"/>
    <w:rsid w:val="7E8F714D"/>
    <w:rsid w:val="7EFB70ED"/>
    <w:rsid w:val="7F572AE8"/>
    <w:rsid w:val="7F7B367D"/>
    <w:rsid w:val="7F96532A"/>
    <w:rsid w:val="7F9A1827"/>
    <w:rsid w:val="7FED69DD"/>
    <w:rsid w:val="812E654B"/>
    <w:rsid w:val="BB75085F"/>
    <w:rsid w:val="D7E389DC"/>
    <w:rsid w:val="E807BCFD"/>
    <w:rsid w:val="FFA3C2BD"/>
    <w:rsid w:val="FFF5E348"/>
    <w:rsid w:val="FFFF222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0" w:name="toc 3"/>
    <w:lsdException w:qFormat="1" w:unhideWhenUsed="0" w:uiPriority="0" w:name="toc 4"/>
    <w:lsdException w:uiPriority="0" w:name="toc 5"/>
    <w:lsdException w:qFormat="1" w:unhideWhenUsed="0"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4"/>
      <w:lang w:val="en-US" w:eastAsia="zh-CN" w:bidi="ar-SA"/>
    </w:rPr>
  </w:style>
  <w:style w:type="paragraph" w:styleId="2">
    <w:name w:val="heading 1"/>
    <w:basedOn w:val="1"/>
    <w:next w:val="1"/>
    <w:link w:val="59"/>
    <w:qFormat/>
    <w:uiPriority w:val="0"/>
    <w:pPr>
      <w:keepNext/>
      <w:keepLines/>
      <w:tabs>
        <w:tab w:val="left" w:pos="840"/>
      </w:tabs>
      <w:adjustRightInd w:val="0"/>
      <w:snapToGrid w:val="0"/>
      <w:spacing w:line="360" w:lineRule="auto"/>
      <w:outlineLvl w:val="0"/>
    </w:pPr>
    <w:rPr>
      <w:rFonts w:ascii="宋体"/>
      <w:b/>
      <w:kern w:val="44"/>
      <w:sz w:val="24"/>
      <w:szCs w:val="20"/>
    </w:rPr>
  </w:style>
  <w:style w:type="paragraph" w:styleId="3">
    <w:name w:val="heading 2"/>
    <w:basedOn w:val="1"/>
    <w:next w:val="1"/>
    <w:link w:val="60"/>
    <w:qFormat/>
    <w:uiPriority w:val="9"/>
    <w:pPr>
      <w:keepNext/>
      <w:keepLines/>
      <w:spacing w:before="260" w:after="260" w:line="413" w:lineRule="auto"/>
      <w:outlineLvl w:val="1"/>
    </w:pPr>
    <w:rPr>
      <w:rFonts w:ascii="Arial" w:hAnsi="Arial" w:eastAsia="黑体"/>
      <w:b/>
      <w:bCs/>
      <w:kern w:val="2"/>
      <w:sz w:val="32"/>
      <w:szCs w:val="32"/>
    </w:rPr>
  </w:style>
  <w:style w:type="paragraph" w:styleId="4">
    <w:name w:val="heading 3"/>
    <w:basedOn w:val="1"/>
    <w:next w:val="1"/>
    <w:link w:val="61"/>
    <w:qFormat/>
    <w:uiPriority w:val="0"/>
    <w:pPr>
      <w:keepNext/>
      <w:keepLines/>
      <w:spacing w:before="260" w:after="260" w:line="413" w:lineRule="auto"/>
      <w:outlineLvl w:val="2"/>
    </w:pPr>
    <w:rPr>
      <w:b/>
      <w:bCs/>
      <w:kern w:val="2"/>
      <w:sz w:val="32"/>
      <w:szCs w:val="32"/>
    </w:rPr>
  </w:style>
  <w:style w:type="paragraph" w:styleId="5">
    <w:name w:val="heading 4"/>
    <w:basedOn w:val="1"/>
    <w:next w:val="1"/>
    <w:link w:val="62"/>
    <w:qFormat/>
    <w:uiPriority w:val="0"/>
    <w:pPr>
      <w:keepNext/>
      <w:keepLines/>
      <w:tabs>
        <w:tab w:val="left" w:pos="864"/>
      </w:tabs>
      <w:ind w:left="864" w:hanging="864"/>
      <w:outlineLvl w:val="3"/>
    </w:pPr>
    <w:rPr>
      <w:rFonts w:ascii="Arial" w:hAnsi="Arial" w:eastAsia="Times New Roman"/>
      <w:b/>
      <w:bCs/>
      <w:kern w:val="2"/>
      <w:sz w:val="28"/>
      <w:szCs w:val="28"/>
    </w:rPr>
  </w:style>
  <w:style w:type="paragraph" w:styleId="6">
    <w:name w:val="heading 5"/>
    <w:basedOn w:val="1"/>
    <w:next w:val="1"/>
    <w:link w:val="63"/>
    <w:qFormat/>
    <w:uiPriority w:val="0"/>
    <w:pPr>
      <w:keepNext/>
      <w:keepLines/>
      <w:tabs>
        <w:tab w:val="left" w:pos="567"/>
      </w:tabs>
      <w:ind w:left="567" w:hanging="567"/>
      <w:outlineLvl w:val="4"/>
    </w:pPr>
    <w:rPr>
      <w:b/>
      <w:bCs/>
      <w:kern w:val="2"/>
      <w:sz w:val="28"/>
      <w:szCs w:val="28"/>
    </w:rPr>
  </w:style>
  <w:style w:type="paragraph" w:styleId="7">
    <w:name w:val="heading 6"/>
    <w:basedOn w:val="1"/>
    <w:next w:val="1"/>
    <w:link w:val="64"/>
    <w:qFormat/>
    <w:uiPriority w:val="0"/>
    <w:pPr>
      <w:keepNext/>
      <w:keepLines/>
      <w:tabs>
        <w:tab w:val="left" w:pos="851"/>
      </w:tabs>
      <w:spacing w:before="240" w:after="64" w:line="320" w:lineRule="auto"/>
      <w:ind w:left="851" w:hanging="851"/>
      <w:outlineLvl w:val="5"/>
    </w:pPr>
    <w:rPr>
      <w:rFonts w:ascii="Arial" w:hAnsi="Arial" w:eastAsia="黑体"/>
      <w:b/>
      <w:bCs/>
      <w:kern w:val="2"/>
      <w:sz w:val="24"/>
    </w:rPr>
  </w:style>
  <w:style w:type="paragraph" w:styleId="8">
    <w:name w:val="heading 7"/>
    <w:basedOn w:val="1"/>
    <w:next w:val="1"/>
    <w:link w:val="65"/>
    <w:qFormat/>
    <w:uiPriority w:val="0"/>
    <w:pPr>
      <w:keepNext/>
      <w:keepLines/>
      <w:tabs>
        <w:tab w:val="left" w:pos="1296"/>
      </w:tabs>
      <w:spacing w:before="240" w:after="64" w:line="320" w:lineRule="auto"/>
      <w:ind w:left="1296" w:hanging="1296"/>
      <w:outlineLvl w:val="6"/>
    </w:pPr>
    <w:rPr>
      <w:rFonts w:eastAsia="仿宋_GB2312"/>
      <w:b/>
      <w:bCs/>
      <w:kern w:val="2"/>
      <w:sz w:val="24"/>
    </w:rPr>
  </w:style>
  <w:style w:type="paragraph" w:styleId="9">
    <w:name w:val="heading 8"/>
    <w:basedOn w:val="1"/>
    <w:next w:val="1"/>
    <w:link w:val="66"/>
    <w:qFormat/>
    <w:uiPriority w:val="0"/>
    <w:pPr>
      <w:keepNext/>
      <w:keepLines/>
      <w:tabs>
        <w:tab w:val="left" w:pos="1440"/>
      </w:tabs>
      <w:spacing w:before="240" w:after="64" w:line="320" w:lineRule="auto"/>
      <w:ind w:left="1440" w:hanging="1440"/>
      <w:outlineLvl w:val="7"/>
    </w:pPr>
    <w:rPr>
      <w:rFonts w:ascii="Arial" w:hAnsi="Arial" w:eastAsia="黑体"/>
      <w:kern w:val="2"/>
      <w:sz w:val="24"/>
    </w:rPr>
  </w:style>
  <w:style w:type="paragraph" w:styleId="10">
    <w:name w:val="heading 9"/>
    <w:basedOn w:val="1"/>
    <w:next w:val="1"/>
    <w:link w:val="67"/>
    <w:qFormat/>
    <w:uiPriority w:val="0"/>
    <w:pPr>
      <w:keepNext/>
      <w:keepLines/>
      <w:tabs>
        <w:tab w:val="left" w:pos="1584"/>
      </w:tabs>
      <w:spacing w:before="240" w:after="64" w:line="320" w:lineRule="auto"/>
      <w:ind w:left="1584" w:hanging="1584"/>
      <w:outlineLvl w:val="8"/>
    </w:pPr>
    <w:rPr>
      <w:rFonts w:ascii="Arial" w:hAnsi="Arial" w:eastAsia="黑体"/>
      <w:kern w:val="2"/>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
    <w:link w:val="69"/>
    <w:qFormat/>
    <w:uiPriority w:val="0"/>
    <w:pPr>
      <w:adjustRightInd w:val="0"/>
      <w:spacing w:line="312" w:lineRule="atLeast"/>
      <w:ind w:firstLine="420"/>
      <w:textAlignment w:val="baseline"/>
    </w:pPr>
    <w:rPr>
      <w:szCs w:val="20"/>
    </w:rPr>
  </w:style>
  <w:style w:type="paragraph" w:styleId="12">
    <w:name w:val="caption"/>
    <w:basedOn w:val="1"/>
    <w:next w:val="1"/>
    <w:qFormat/>
    <w:uiPriority w:val="0"/>
    <w:rPr>
      <w:rFonts w:ascii="Calibri Light" w:hAnsi="Calibri Light" w:eastAsia="黑体"/>
      <w:sz w:val="20"/>
      <w:szCs w:val="20"/>
    </w:rPr>
  </w:style>
  <w:style w:type="paragraph" w:styleId="13">
    <w:name w:val="List Bullet"/>
    <w:qFormat/>
    <w:uiPriority w:val="0"/>
    <w:pPr>
      <w:tabs>
        <w:tab w:val="left" w:pos="420"/>
      </w:tabs>
      <w:spacing w:beforeLines="50" w:afterLines="50" w:line="300" w:lineRule="auto"/>
      <w:ind w:left="420" w:hanging="420"/>
    </w:pPr>
    <w:rPr>
      <w:rFonts w:ascii="Arial" w:hAnsi="Arial" w:eastAsia="宋体" w:cs="Times New Roman"/>
      <w:kern w:val="24"/>
      <w:sz w:val="24"/>
      <w:szCs w:val="24"/>
      <w:lang w:val="en-US" w:eastAsia="zh-CN" w:bidi="ar-SA"/>
    </w:rPr>
  </w:style>
  <w:style w:type="paragraph" w:styleId="14">
    <w:name w:val="Document Map"/>
    <w:basedOn w:val="1"/>
    <w:link w:val="70"/>
    <w:qFormat/>
    <w:uiPriority w:val="0"/>
    <w:pPr>
      <w:shd w:val="clear" w:color="auto" w:fill="000080"/>
    </w:pPr>
    <w:rPr>
      <w:kern w:val="2"/>
    </w:rPr>
  </w:style>
  <w:style w:type="paragraph" w:styleId="15">
    <w:name w:val="annotation text"/>
    <w:basedOn w:val="1"/>
    <w:link w:val="71"/>
    <w:qFormat/>
    <w:uiPriority w:val="0"/>
    <w:pPr>
      <w:jc w:val="left"/>
    </w:pPr>
    <w:rPr>
      <w:kern w:val="2"/>
    </w:rPr>
  </w:style>
  <w:style w:type="paragraph" w:styleId="16">
    <w:name w:val="Salutation"/>
    <w:basedOn w:val="1"/>
    <w:next w:val="1"/>
    <w:link w:val="72"/>
    <w:qFormat/>
    <w:uiPriority w:val="0"/>
    <w:rPr>
      <w:kern w:val="2"/>
      <w:sz w:val="24"/>
    </w:rPr>
  </w:style>
  <w:style w:type="paragraph" w:styleId="17">
    <w:name w:val="Body Text"/>
    <w:basedOn w:val="1"/>
    <w:next w:val="18"/>
    <w:link w:val="73"/>
    <w:qFormat/>
    <w:uiPriority w:val="99"/>
    <w:pPr>
      <w:spacing w:after="120"/>
    </w:pPr>
    <w:rPr>
      <w:kern w:val="2"/>
    </w:rPr>
  </w:style>
  <w:style w:type="paragraph" w:styleId="18">
    <w:name w:val="Body Text First Indent"/>
    <w:basedOn w:val="17"/>
    <w:next w:val="19"/>
    <w:qFormat/>
    <w:uiPriority w:val="0"/>
    <w:pPr>
      <w:ind w:firstLine="420" w:firstLineChars="100"/>
    </w:pPr>
  </w:style>
  <w:style w:type="paragraph" w:styleId="19">
    <w:name w:val="toc 6"/>
    <w:basedOn w:val="1"/>
    <w:next w:val="1"/>
    <w:semiHidden/>
    <w:qFormat/>
    <w:uiPriority w:val="0"/>
    <w:pPr>
      <w:ind w:left="1050"/>
      <w:jc w:val="left"/>
    </w:pPr>
    <w:rPr>
      <w:sz w:val="18"/>
      <w:szCs w:val="18"/>
    </w:rPr>
  </w:style>
  <w:style w:type="paragraph" w:styleId="20">
    <w:name w:val="Body Text Indent"/>
    <w:basedOn w:val="1"/>
    <w:next w:val="1"/>
    <w:link w:val="57"/>
    <w:qFormat/>
    <w:uiPriority w:val="0"/>
    <w:pPr>
      <w:ind w:left="480" w:hanging="480" w:hangingChars="200"/>
    </w:pPr>
    <w:rPr>
      <w:kern w:val="2"/>
      <w:sz w:val="24"/>
    </w:rPr>
  </w:style>
  <w:style w:type="paragraph" w:styleId="21">
    <w:name w:val="Block Text"/>
    <w:basedOn w:val="1"/>
    <w:qFormat/>
    <w:uiPriority w:val="0"/>
    <w:pPr>
      <w:adjustRightInd w:val="0"/>
      <w:spacing w:after="160" w:line="300" w:lineRule="auto"/>
      <w:ind w:left="958" w:right="-120" w:rightChars="-120"/>
      <w:jc w:val="left"/>
    </w:pPr>
    <w:rPr>
      <w:rFonts w:ascii="宋体" w:hAnsi="宋体"/>
      <w:kern w:val="2"/>
      <w:sz w:val="28"/>
      <w:szCs w:val="20"/>
    </w:rPr>
  </w:style>
  <w:style w:type="paragraph" w:styleId="22">
    <w:name w:val="List Bullet 2"/>
    <w:basedOn w:val="1"/>
    <w:qFormat/>
    <w:uiPriority w:val="0"/>
    <w:pPr>
      <w:tabs>
        <w:tab w:val="left" w:pos="780"/>
      </w:tabs>
      <w:ind w:left="780" w:hanging="360"/>
    </w:pPr>
    <w:rPr>
      <w:szCs w:val="20"/>
    </w:rPr>
  </w:style>
  <w:style w:type="paragraph" w:styleId="23">
    <w:name w:val="toc 3"/>
    <w:basedOn w:val="1"/>
    <w:next w:val="1"/>
    <w:semiHidden/>
    <w:unhideWhenUsed/>
    <w:qFormat/>
    <w:uiPriority w:val="0"/>
    <w:pPr>
      <w:ind w:left="840" w:leftChars="400"/>
    </w:pPr>
  </w:style>
  <w:style w:type="paragraph" w:styleId="24">
    <w:name w:val="Plain Text"/>
    <w:basedOn w:val="1"/>
    <w:next w:val="1"/>
    <w:link w:val="76"/>
    <w:qFormat/>
    <w:uiPriority w:val="0"/>
    <w:pPr>
      <w:widowControl/>
      <w:overflowPunct w:val="0"/>
      <w:autoSpaceDE w:val="0"/>
      <w:autoSpaceDN w:val="0"/>
      <w:adjustRightInd w:val="0"/>
      <w:jc w:val="left"/>
      <w:textAlignment w:val="baseline"/>
    </w:pPr>
    <w:rPr>
      <w:rFonts w:ascii="宋体" w:hAnsi="Courier New"/>
      <w:szCs w:val="21"/>
    </w:rPr>
  </w:style>
  <w:style w:type="paragraph" w:styleId="25">
    <w:name w:val="Date"/>
    <w:basedOn w:val="1"/>
    <w:next w:val="1"/>
    <w:link w:val="78"/>
    <w:qFormat/>
    <w:uiPriority w:val="0"/>
    <w:pPr>
      <w:ind w:left="100" w:leftChars="2500"/>
    </w:pPr>
    <w:rPr>
      <w:kern w:val="2"/>
      <w:szCs w:val="20"/>
    </w:rPr>
  </w:style>
  <w:style w:type="paragraph" w:styleId="26">
    <w:name w:val="Body Text Indent 2"/>
    <w:basedOn w:val="1"/>
    <w:link w:val="79"/>
    <w:qFormat/>
    <w:uiPriority w:val="0"/>
    <w:pPr>
      <w:spacing w:line="500" w:lineRule="exact"/>
      <w:ind w:firstLine="511" w:firstLineChars="213"/>
    </w:pPr>
    <w:rPr>
      <w:kern w:val="2"/>
      <w:sz w:val="24"/>
    </w:rPr>
  </w:style>
  <w:style w:type="paragraph" w:styleId="27">
    <w:name w:val="Balloon Text"/>
    <w:basedOn w:val="1"/>
    <w:link w:val="80"/>
    <w:qFormat/>
    <w:uiPriority w:val="0"/>
    <w:rPr>
      <w:kern w:val="2"/>
      <w:sz w:val="18"/>
      <w:szCs w:val="18"/>
    </w:rPr>
  </w:style>
  <w:style w:type="paragraph" w:styleId="28">
    <w:name w:val="footer"/>
    <w:basedOn w:val="1"/>
    <w:link w:val="81"/>
    <w:qFormat/>
    <w:uiPriority w:val="99"/>
    <w:pPr>
      <w:tabs>
        <w:tab w:val="center" w:pos="4153"/>
        <w:tab w:val="right" w:pos="8306"/>
      </w:tabs>
      <w:snapToGrid w:val="0"/>
      <w:jc w:val="left"/>
    </w:pPr>
    <w:rPr>
      <w:kern w:val="2"/>
      <w:sz w:val="18"/>
      <w:szCs w:val="18"/>
    </w:rPr>
  </w:style>
  <w:style w:type="paragraph" w:styleId="29">
    <w:name w:val="header"/>
    <w:basedOn w:val="1"/>
    <w:link w:val="82"/>
    <w:qFormat/>
    <w:uiPriority w:val="99"/>
    <w:pPr>
      <w:pBdr>
        <w:bottom w:val="single" w:color="auto" w:sz="6" w:space="1"/>
      </w:pBdr>
      <w:tabs>
        <w:tab w:val="center" w:pos="4153"/>
        <w:tab w:val="right" w:pos="8306"/>
      </w:tabs>
      <w:snapToGrid w:val="0"/>
      <w:jc w:val="center"/>
    </w:pPr>
    <w:rPr>
      <w:kern w:val="2"/>
      <w:sz w:val="18"/>
      <w:szCs w:val="18"/>
    </w:rPr>
  </w:style>
  <w:style w:type="paragraph" w:styleId="30">
    <w:name w:val="toc 1"/>
    <w:basedOn w:val="1"/>
    <w:next w:val="1"/>
    <w:unhideWhenUsed/>
    <w:qFormat/>
    <w:uiPriority w:val="39"/>
    <w:pPr>
      <w:tabs>
        <w:tab w:val="right" w:leader="dot" w:pos="9628"/>
      </w:tabs>
    </w:pPr>
  </w:style>
  <w:style w:type="paragraph" w:styleId="31">
    <w:name w:val="toc 4"/>
    <w:basedOn w:val="1"/>
    <w:next w:val="1"/>
    <w:semiHidden/>
    <w:qFormat/>
    <w:uiPriority w:val="0"/>
    <w:pPr>
      <w:ind w:left="630"/>
      <w:jc w:val="left"/>
    </w:pPr>
    <w:rPr>
      <w:sz w:val="18"/>
      <w:szCs w:val="18"/>
    </w:rPr>
  </w:style>
  <w:style w:type="paragraph" w:styleId="32">
    <w:name w:val="Body Text Indent 3"/>
    <w:basedOn w:val="1"/>
    <w:link w:val="86"/>
    <w:qFormat/>
    <w:uiPriority w:val="0"/>
    <w:pPr>
      <w:spacing w:line="500" w:lineRule="exact"/>
      <w:ind w:left="511" w:hanging="511" w:hangingChars="213"/>
    </w:pPr>
    <w:rPr>
      <w:kern w:val="2"/>
      <w:sz w:val="24"/>
    </w:rPr>
  </w:style>
  <w:style w:type="paragraph" w:styleId="33">
    <w:name w:val="toc 2"/>
    <w:basedOn w:val="1"/>
    <w:next w:val="1"/>
    <w:unhideWhenUsed/>
    <w:qFormat/>
    <w:uiPriority w:val="39"/>
    <w:pPr>
      <w:ind w:left="420" w:leftChars="200"/>
    </w:pPr>
  </w:style>
  <w:style w:type="paragraph" w:styleId="34">
    <w:name w:val="Body Text 2"/>
    <w:basedOn w:val="1"/>
    <w:qFormat/>
    <w:uiPriority w:val="0"/>
    <w:pPr>
      <w:spacing w:after="120" w:line="480" w:lineRule="auto"/>
    </w:pPr>
  </w:style>
  <w:style w:type="paragraph" w:styleId="35">
    <w:name w:val="Normal (Web)"/>
    <w:basedOn w:val="1"/>
    <w:qFormat/>
    <w:uiPriority w:val="0"/>
    <w:pPr>
      <w:widowControl/>
      <w:spacing w:before="100" w:beforeAutospacing="1" w:after="100" w:afterAutospacing="1"/>
      <w:jc w:val="left"/>
    </w:pPr>
    <w:rPr>
      <w:rFonts w:ascii="宋体" w:hAnsi="宋体" w:cs="宋体"/>
      <w:sz w:val="24"/>
    </w:rPr>
  </w:style>
  <w:style w:type="paragraph" w:styleId="36">
    <w:name w:val="Title"/>
    <w:basedOn w:val="1"/>
    <w:next w:val="1"/>
    <w:link w:val="89"/>
    <w:qFormat/>
    <w:uiPriority w:val="0"/>
    <w:pPr>
      <w:spacing w:before="240" w:after="60" w:line="460" w:lineRule="exact"/>
      <w:jc w:val="center"/>
      <w:outlineLvl w:val="0"/>
    </w:pPr>
    <w:rPr>
      <w:rFonts w:ascii="Arial" w:hAnsi="Arial"/>
      <w:b/>
      <w:spacing w:val="14"/>
      <w:kern w:val="24"/>
      <w:sz w:val="32"/>
      <w:szCs w:val="20"/>
    </w:rPr>
  </w:style>
  <w:style w:type="paragraph" w:styleId="37">
    <w:name w:val="annotation subject"/>
    <w:basedOn w:val="15"/>
    <w:next w:val="15"/>
    <w:link w:val="90"/>
    <w:qFormat/>
    <w:uiPriority w:val="0"/>
    <w:rPr>
      <w:b/>
      <w:bCs/>
    </w:rPr>
  </w:style>
  <w:style w:type="paragraph" w:styleId="38">
    <w:name w:val="Body Text First Indent 2"/>
    <w:basedOn w:val="20"/>
    <w:qFormat/>
    <w:uiPriority w:val="0"/>
    <w:pPr>
      <w:ind w:left="200" w:leftChars="200" w:firstLine="420" w:firstLineChars="200"/>
    </w:p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rFonts w:ascii="Times New Roman" w:hAnsi="Times New Roman" w:eastAsia="宋体" w:cs="Times New Roman"/>
      <w:b/>
      <w:bCs/>
    </w:rPr>
  </w:style>
  <w:style w:type="character" w:styleId="43">
    <w:name w:val="page number"/>
    <w:qFormat/>
    <w:uiPriority w:val="0"/>
    <w:rPr>
      <w:rFonts w:ascii="Times New Roman" w:hAnsi="Times New Roman" w:eastAsia="宋体" w:cs="Times New Roman"/>
    </w:rPr>
  </w:style>
  <w:style w:type="character" w:styleId="44">
    <w:name w:val="Emphasis"/>
    <w:qFormat/>
    <w:uiPriority w:val="0"/>
    <w:rPr>
      <w:rFonts w:ascii="Times New Roman" w:hAnsi="Times New Roman" w:eastAsia="宋体" w:cs="Times New Roman"/>
      <w:b/>
    </w:rPr>
  </w:style>
  <w:style w:type="character" w:styleId="45">
    <w:name w:val="HTML Definition"/>
    <w:qFormat/>
    <w:uiPriority w:val="0"/>
    <w:rPr>
      <w:rFonts w:ascii="Times New Roman" w:hAnsi="Times New Roman" w:eastAsia="宋体" w:cs="Times New Roman"/>
    </w:rPr>
  </w:style>
  <w:style w:type="character" w:styleId="46">
    <w:name w:val="HTML Variable"/>
    <w:qFormat/>
    <w:uiPriority w:val="0"/>
    <w:rPr>
      <w:rFonts w:ascii="Times New Roman" w:hAnsi="Times New Roman" w:eastAsia="宋体" w:cs="Times New Roman"/>
    </w:rPr>
  </w:style>
  <w:style w:type="character" w:styleId="47">
    <w:name w:val="Hyperlink"/>
    <w:qFormat/>
    <w:uiPriority w:val="99"/>
    <w:rPr>
      <w:rFonts w:ascii="Times New Roman" w:hAnsi="Times New Roman" w:eastAsia="宋体" w:cs="Times New Roman"/>
      <w:color w:val="000000"/>
      <w:sz w:val="21"/>
      <w:szCs w:val="21"/>
      <w:u w:val="none"/>
    </w:rPr>
  </w:style>
  <w:style w:type="character" w:styleId="48">
    <w:name w:val="HTML Code"/>
    <w:qFormat/>
    <w:uiPriority w:val="0"/>
    <w:rPr>
      <w:rFonts w:ascii="Courier New" w:hAnsi="Courier New" w:eastAsia="宋体" w:cs="Times New Roman"/>
      <w:sz w:val="20"/>
    </w:rPr>
  </w:style>
  <w:style w:type="character" w:styleId="49">
    <w:name w:val="annotation reference"/>
    <w:qFormat/>
    <w:uiPriority w:val="0"/>
    <w:rPr>
      <w:rFonts w:ascii="Times New Roman" w:hAnsi="Times New Roman" w:eastAsia="宋体" w:cs="Times New Roman"/>
      <w:sz w:val="21"/>
      <w:szCs w:val="21"/>
    </w:rPr>
  </w:style>
  <w:style w:type="character" w:styleId="50">
    <w:name w:val="HTML Cite"/>
    <w:qFormat/>
    <w:uiPriority w:val="0"/>
    <w:rPr>
      <w:rFonts w:ascii="Times New Roman" w:hAnsi="Times New Roman" w:eastAsia="宋体" w:cs="Times New Roman"/>
    </w:rPr>
  </w:style>
  <w:style w:type="character" w:styleId="51">
    <w:name w:val="HTML Keyboard"/>
    <w:qFormat/>
    <w:uiPriority w:val="0"/>
    <w:rPr>
      <w:rFonts w:ascii="Courier New" w:hAnsi="Courier New" w:eastAsia="宋体" w:cs="Times New Roman"/>
      <w:sz w:val="20"/>
    </w:rPr>
  </w:style>
  <w:style w:type="character" w:styleId="52">
    <w:name w:val="HTML Sample"/>
    <w:qFormat/>
    <w:uiPriority w:val="0"/>
    <w:rPr>
      <w:rFonts w:ascii="Courier New" w:hAnsi="Courier New" w:eastAsia="宋体" w:cs="Times New Roman"/>
    </w:rPr>
  </w:style>
  <w:style w:type="character" w:customStyle="1" w:styleId="53">
    <w:name w:val="正文文本 Char"/>
    <w:qFormat/>
    <w:uiPriority w:val="0"/>
    <w:rPr>
      <w:rFonts w:ascii="Times New Roman" w:hAnsi="Times New Roman" w:eastAsia="宋体" w:cs="Times New Roman"/>
      <w:kern w:val="2"/>
      <w:sz w:val="21"/>
      <w:szCs w:val="24"/>
    </w:rPr>
  </w:style>
  <w:style w:type="paragraph" w:customStyle="1" w:styleId="54">
    <w:name w:val="正文2"/>
    <w:basedOn w:val="1"/>
    <w:qFormat/>
    <w:uiPriority w:val="0"/>
    <w:pPr>
      <w:spacing w:before="156" w:line="360" w:lineRule="auto"/>
      <w:ind w:firstLine="510" w:firstLineChars="200"/>
    </w:pPr>
    <w:rPr>
      <w:sz w:val="24"/>
      <w:szCs w:val="20"/>
    </w:rPr>
  </w:style>
  <w:style w:type="paragraph" w:customStyle="1" w:styleId="55">
    <w:name w:val="正文文本首行缩进1"/>
    <w:basedOn w:val="17"/>
    <w:qFormat/>
    <w:uiPriority w:val="0"/>
    <w:pPr>
      <w:ind w:firstLine="420"/>
    </w:pPr>
  </w:style>
  <w:style w:type="paragraph" w:customStyle="1" w:styleId="56">
    <w:name w:val="正文文本首行缩进 21"/>
    <w:basedOn w:val="20"/>
    <w:link w:val="58"/>
    <w:qFormat/>
    <w:uiPriority w:val="0"/>
    <w:pPr>
      <w:spacing w:after="120"/>
      <w:ind w:left="420" w:leftChars="200" w:firstLine="420" w:firstLineChars="200"/>
    </w:pPr>
    <w:rPr>
      <w:rFonts w:ascii="仿宋_GB2312" w:eastAsia="仿宋_GB2312"/>
      <w:sz w:val="28"/>
      <w:szCs w:val="28"/>
    </w:rPr>
  </w:style>
  <w:style w:type="character" w:customStyle="1" w:styleId="57">
    <w:name w:val="正文文本缩进 字符"/>
    <w:link w:val="20"/>
    <w:qFormat/>
    <w:uiPriority w:val="0"/>
    <w:rPr>
      <w:rFonts w:ascii="Times New Roman" w:hAnsi="Times New Roman" w:eastAsia="宋体" w:cs="Times New Roman"/>
      <w:kern w:val="2"/>
      <w:sz w:val="24"/>
      <w:szCs w:val="24"/>
    </w:rPr>
  </w:style>
  <w:style w:type="character" w:customStyle="1" w:styleId="58">
    <w:name w:val="正文文本首行缩进 2 字符"/>
    <w:link w:val="56"/>
    <w:qFormat/>
    <w:uiPriority w:val="0"/>
    <w:rPr>
      <w:rFonts w:ascii="仿宋_GB2312" w:hAnsi="Times New Roman" w:eastAsia="仿宋_GB2312" w:cs="Times New Roman"/>
      <w:kern w:val="2"/>
      <w:sz w:val="28"/>
      <w:szCs w:val="28"/>
      <w:lang w:val="en-US" w:eastAsia="zh-CN" w:bidi="ar-SA"/>
    </w:rPr>
  </w:style>
  <w:style w:type="character" w:customStyle="1" w:styleId="59">
    <w:name w:val="标题 1 字符"/>
    <w:link w:val="2"/>
    <w:qFormat/>
    <w:uiPriority w:val="0"/>
    <w:rPr>
      <w:rFonts w:ascii="宋体" w:hAnsi="Times New Roman" w:eastAsia="宋体" w:cs="Times New Roman"/>
      <w:b/>
      <w:kern w:val="44"/>
      <w:sz w:val="24"/>
    </w:rPr>
  </w:style>
  <w:style w:type="character" w:customStyle="1" w:styleId="60">
    <w:name w:val="标题 2 字符"/>
    <w:link w:val="3"/>
    <w:qFormat/>
    <w:uiPriority w:val="9"/>
    <w:rPr>
      <w:rFonts w:ascii="Arial" w:hAnsi="Arial" w:eastAsia="黑体" w:cs="Times New Roman"/>
      <w:b/>
      <w:bCs/>
      <w:kern w:val="2"/>
      <w:sz w:val="32"/>
      <w:szCs w:val="32"/>
    </w:rPr>
  </w:style>
  <w:style w:type="character" w:customStyle="1" w:styleId="61">
    <w:name w:val="标题 3 字符"/>
    <w:link w:val="4"/>
    <w:qFormat/>
    <w:uiPriority w:val="0"/>
    <w:rPr>
      <w:rFonts w:ascii="Times New Roman" w:hAnsi="Times New Roman" w:eastAsia="宋体" w:cs="Times New Roman"/>
      <w:b/>
      <w:bCs/>
      <w:kern w:val="2"/>
      <w:sz w:val="32"/>
      <w:szCs w:val="32"/>
      <w:lang w:val="en-US" w:eastAsia="zh-CN" w:bidi="ar-SA"/>
    </w:rPr>
  </w:style>
  <w:style w:type="character" w:customStyle="1" w:styleId="62">
    <w:name w:val="标题 4 字符"/>
    <w:link w:val="5"/>
    <w:qFormat/>
    <w:uiPriority w:val="9"/>
    <w:rPr>
      <w:rFonts w:ascii="Arial" w:hAnsi="Arial" w:eastAsia="Times New Roman" w:cs="Times New Roman"/>
      <w:b/>
      <w:bCs/>
      <w:kern w:val="2"/>
      <w:sz w:val="28"/>
      <w:szCs w:val="28"/>
    </w:rPr>
  </w:style>
  <w:style w:type="character" w:customStyle="1" w:styleId="63">
    <w:name w:val="标题 5 字符"/>
    <w:link w:val="6"/>
    <w:qFormat/>
    <w:uiPriority w:val="0"/>
    <w:rPr>
      <w:rFonts w:ascii="Times New Roman" w:hAnsi="Times New Roman" w:eastAsia="宋体" w:cs="Times New Roman"/>
      <w:b/>
      <w:bCs/>
      <w:kern w:val="2"/>
      <w:sz w:val="28"/>
      <w:szCs w:val="28"/>
      <w:lang w:bidi="ar-SA"/>
    </w:rPr>
  </w:style>
  <w:style w:type="character" w:customStyle="1" w:styleId="64">
    <w:name w:val="标题 6 字符"/>
    <w:link w:val="7"/>
    <w:qFormat/>
    <w:uiPriority w:val="0"/>
    <w:rPr>
      <w:rFonts w:ascii="Arial" w:hAnsi="Arial" w:eastAsia="黑体" w:cs="Times New Roman"/>
      <w:b/>
      <w:bCs/>
      <w:kern w:val="2"/>
      <w:sz w:val="24"/>
      <w:szCs w:val="24"/>
    </w:rPr>
  </w:style>
  <w:style w:type="character" w:customStyle="1" w:styleId="65">
    <w:name w:val="标题 7 字符"/>
    <w:link w:val="8"/>
    <w:qFormat/>
    <w:uiPriority w:val="0"/>
    <w:rPr>
      <w:rFonts w:ascii="Times New Roman" w:hAnsi="Times New Roman" w:eastAsia="仿宋_GB2312" w:cs="Times New Roman"/>
      <w:b/>
      <w:bCs/>
      <w:kern w:val="2"/>
      <w:sz w:val="24"/>
      <w:szCs w:val="24"/>
    </w:rPr>
  </w:style>
  <w:style w:type="character" w:customStyle="1" w:styleId="66">
    <w:name w:val="标题 8 字符"/>
    <w:link w:val="9"/>
    <w:qFormat/>
    <w:uiPriority w:val="0"/>
    <w:rPr>
      <w:rFonts w:ascii="Arial" w:hAnsi="Arial" w:eastAsia="黑体" w:cs="Times New Roman"/>
      <w:kern w:val="2"/>
      <w:sz w:val="24"/>
      <w:szCs w:val="24"/>
    </w:rPr>
  </w:style>
  <w:style w:type="character" w:customStyle="1" w:styleId="67">
    <w:name w:val="标题 9 字符"/>
    <w:link w:val="10"/>
    <w:qFormat/>
    <w:uiPriority w:val="0"/>
    <w:rPr>
      <w:rFonts w:ascii="Arial" w:hAnsi="Arial" w:eastAsia="黑体" w:cs="Times New Roman"/>
      <w:kern w:val="2"/>
      <w:sz w:val="21"/>
      <w:szCs w:val="21"/>
    </w:rPr>
  </w:style>
  <w:style w:type="paragraph" w:customStyle="1" w:styleId="68">
    <w:name w:val="TOC 71"/>
    <w:basedOn w:val="1"/>
    <w:next w:val="1"/>
    <w:qFormat/>
    <w:uiPriority w:val="0"/>
    <w:pPr>
      <w:ind w:left="1260"/>
      <w:jc w:val="left"/>
    </w:pPr>
    <w:rPr>
      <w:sz w:val="18"/>
      <w:szCs w:val="18"/>
    </w:rPr>
  </w:style>
  <w:style w:type="character" w:customStyle="1" w:styleId="69">
    <w:name w:val="正文缩进 字符"/>
    <w:link w:val="11"/>
    <w:qFormat/>
    <w:uiPriority w:val="0"/>
    <w:rPr>
      <w:rFonts w:ascii="Times New Roman" w:hAnsi="Times New Roman" w:eastAsia="宋体" w:cs="Times New Roman"/>
      <w:sz w:val="21"/>
      <w:lang w:val="en-US" w:eastAsia="zh-CN" w:bidi="ar-SA"/>
    </w:rPr>
  </w:style>
  <w:style w:type="character" w:customStyle="1" w:styleId="70">
    <w:name w:val="文档结构图 字符"/>
    <w:link w:val="14"/>
    <w:qFormat/>
    <w:uiPriority w:val="0"/>
    <w:rPr>
      <w:rFonts w:ascii="Times New Roman" w:hAnsi="Times New Roman" w:eastAsia="宋体" w:cs="Times New Roman"/>
      <w:kern w:val="2"/>
      <w:sz w:val="21"/>
      <w:szCs w:val="24"/>
      <w:shd w:val="clear" w:color="auto" w:fill="000080"/>
    </w:rPr>
  </w:style>
  <w:style w:type="character" w:customStyle="1" w:styleId="71">
    <w:name w:val="批注文字 字符2"/>
    <w:link w:val="15"/>
    <w:qFormat/>
    <w:uiPriority w:val="0"/>
    <w:rPr>
      <w:rFonts w:ascii="Times New Roman" w:hAnsi="Times New Roman" w:eastAsia="宋体" w:cs="Times New Roman"/>
      <w:kern w:val="2"/>
      <w:sz w:val="21"/>
      <w:szCs w:val="24"/>
    </w:rPr>
  </w:style>
  <w:style w:type="character" w:customStyle="1" w:styleId="72">
    <w:name w:val="称呼 字符"/>
    <w:link w:val="16"/>
    <w:qFormat/>
    <w:uiPriority w:val="0"/>
    <w:rPr>
      <w:rFonts w:ascii="Times New Roman" w:hAnsi="Times New Roman" w:eastAsia="宋体" w:cs="Times New Roman"/>
      <w:kern w:val="2"/>
      <w:sz w:val="24"/>
      <w:szCs w:val="24"/>
    </w:rPr>
  </w:style>
  <w:style w:type="character" w:customStyle="1" w:styleId="73">
    <w:name w:val="正文文本 字符1"/>
    <w:link w:val="17"/>
    <w:qFormat/>
    <w:uiPriority w:val="0"/>
    <w:rPr>
      <w:rFonts w:ascii="Times New Roman" w:hAnsi="Times New Roman" w:eastAsia="宋体" w:cs="Times New Roman"/>
      <w:kern w:val="2"/>
      <w:sz w:val="21"/>
      <w:szCs w:val="24"/>
    </w:rPr>
  </w:style>
  <w:style w:type="paragraph" w:customStyle="1" w:styleId="74">
    <w:name w:val="TOC 51"/>
    <w:basedOn w:val="1"/>
    <w:next w:val="1"/>
    <w:qFormat/>
    <w:uiPriority w:val="0"/>
    <w:pPr>
      <w:ind w:left="840"/>
      <w:jc w:val="left"/>
    </w:pPr>
    <w:rPr>
      <w:sz w:val="18"/>
      <w:szCs w:val="18"/>
    </w:rPr>
  </w:style>
  <w:style w:type="paragraph" w:customStyle="1" w:styleId="75">
    <w:name w:val="TOC 31"/>
    <w:basedOn w:val="1"/>
    <w:next w:val="1"/>
    <w:qFormat/>
    <w:uiPriority w:val="0"/>
    <w:pPr>
      <w:ind w:left="420"/>
      <w:jc w:val="left"/>
    </w:pPr>
    <w:rPr>
      <w:i/>
      <w:iCs/>
      <w:sz w:val="20"/>
      <w:szCs w:val="20"/>
    </w:rPr>
  </w:style>
  <w:style w:type="character" w:customStyle="1" w:styleId="76">
    <w:name w:val="纯文本 字符1"/>
    <w:link w:val="24"/>
    <w:qFormat/>
    <w:uiPriority w:val="0"/>
    <w:rPr>
      <w:rFonts w:ascii="宋体" w:hAnsi="Courier New" w:eastAsia="宋体" w:cs="Times New Roman"/>
      <w:sz w:val="21"/>
      <w:szCs w:val="21"/>
      <w:lang w:val="en-US" w:eastAsia="zh-CN" w:bidi="ar-SA"/>
    </w:rPr>
  </w:style>
  <w:style w:type="paragraph" w:customStyle="1" w:styleId="77">
    <w:name w:val="TOC 81"/>
    <w:basedOn w:val="1"/>
    <w:next w:val="1"/>
    <w:qFormat/>
    <w:uiPriority w:val="0"/>
    <w:pPr>
      <w:ind w:left="1470"/>
      <w:jc w:val="left"/>
    </w:pPr>
    <w:rPr>
      <w:sz w:val="18"/>
      <w:szCs w:val="18"/>
    </w:rPr>
  </w:style>
  <w:style w:type="character" w:customStyle="1" w:styleId="78">
    <w:name w:val="日期 字符1"/>
    <w:link w:val="25"/>
    <w:qFormat/>
    <w:uiPriority w:val="0"/>
    <w:rPr>
      <w:rFonts w:ascii="Times New Roman" w:hAnsi="Times New Roman" w:eastAsia="宋体" w:cs="Times New Roman"/>
      <w:kern w:val="2"/>
      <w:sz w:val="21"/>
    </w:rPr>
  </w:style>
  <w:style w:type="character" w:customStyle="1" w:styleId="79">
    <w:name w:val="正文文本缩进 2 字符"/>
    <w:link w:val="26"/>
    <w:qFormat/>
    <w:uiPriority w:val="0"/>
    <w:rPr>
      <w:rFonts w:ascii="Times New Roman" w:hAnsi="Times New Roman" w:eastAsia="宋体" w:cs="Times New Roman"/>
      <w:kern w:val="2"/>
      <w:sz w:val="24"/>
      <w:szCs w:val="24"/>
      <w:lang w:val="en-US" w:eastAsia="zh-CN" w:bidi="ar-SA"/>
    </w:rPr>
  </w:style>
  <w:style w:type="character" w:customStyle="1" w:styleId="80">
    <w:name w:val="批注框文本 字符"/>
    <w:link w:val="27"/>
    <w:qFormat/>
    <w:uiPriority w:val="0"/>
    <w:rPr>
      <w:rFonts w:ascii="Times New Roman" w:hAnsi="Times New Roman" w:eastAsia="宋体" w:cs="Times New Roman"/>
      <w:kern w:val="2"/>
      <w:sz w:val="18"/>
      <w:szCs w:val="18"/>
    </w:rPr>
  </w:style>
  <w:style w:type="character" w:customStyle="1" w:styleId="81">
    <w:name w:val="页脚 字符"/>
    <w:link w:val="28"/>
    <w:qFormat/>
    <w:uiPriority w:val="99"/>
    <w:rPr>
      <w:rFonts w:ascii="Times New Roman" w:hAnsi="Times New Roman" w:eastAsia="宋体" w:cs="Times New Roman"/>
      <w:kern w:val="2"/>
      <w:sz w:val="18"/>
      <w:szCs w:val="18"/>
    </w:rPr>
  </w:style>
  <w:style w:type="character" w:customStyle="1" w:styleId="82">
    <w:name w:val="页眉 字符"/>
    <w:link w:val="29"/>
    <w:qFormat/>
    <w:uiPriority w:val="99"/>
    <w:rPr>
      <w:rFonts w:ascii="Times New Roman" w:hAnsi="Times New Roman" w:eastAsia="宋体" w:cs="Times New Roman"/>
      <w:kern w:val="2"/>
      <w:sz w:val="18"/>
      <w:szCs w:val="18"/>
    </w:rPr>
  </w:style>
  <w:style w:type="paragraph" w:customStyle="1" w:styleId="83">
    <w:name w:val="TOC 11"/>
    <w:basedOn w:val="1"/>
    <w:next w:val="1"/>
    <w:qFormat/>
    <w:uiPriority w:val="39"/>
    <w:pPr>
      <w:spacing w:before="120" w:after="120"/>
      <w:jc w:val="left"/>
    </w:pPr>
    <w:rPr>
      <w:b/>
      <w:bCs/>
      <w:caps/>
      <w:sz w:val="20"/>
      <w:szCs w:val="20"/>
    </w:rPr>
  </w:style>
  <w:style w:type="paragraph" w:customStyle="1" w:styleId="84">
    <w:name w:val="TOC 41"/>
    <w:basedOn w:val="1"/>
    <w:next w:val="1"/>
    <w:qFormat/>
    <w:uiPriority w:val="0"/>
    <w:pPr>
      <w:ind w:left="630"/>
      <w:jc w:val="left"/>
    </w:pPr>
    <w:rPr>
      <w:sz w:val="18"/>
      <w:szCs w:val="18"/>
    </w:rPr>
  </w:style>
  <w:style w:type="paragraph" w:customStyle="1" w:styleId="85">
    <w:name w:val="TOC 61"/>
    <w:basedOn w:val="1"/>
    <w:next w:val="1"/>
    <w:qFormat/>
    <w:uiPriority w:val="0"/>
    <w:pPr>
      <w:ind w:left="1050"/>
      <w:jc w:val="left"/>
    </w:pPr>
    <w:rPr>
      <w:sz w:val="18"/>
      <w:szCs w:val="18"/>
    </w:rPr>
  </w:style>
  <w:style w:type="character" w:customStyle="1" w:styleId="86">
    <w:name w:val="正文文本缩进 3 字符"/>
    <w:link w:val="32"/>
    <w:qFormat/>
    <w:uiPriority w:val="0"/>
    <w:rPr>
      <w:rFonts w:ascii="Times New Roman" w:hAnsi="Times New Roman" w:eastAsia="宋体" w:cs="Times New Roman"/>
      <w:kern w:val="2"/>
      <w:sz w:val="24"/>
      <w:szCs w:val="24"/>
    </w:rPr>
  </w:style>
  <w:style w:type="paragraph" w:customStyle="1" w:styleId="87">
    <w:name w:val="TOC 21"/>
    <w:basedOn w:val="1"/>
    <w:next w:val="1"/>
    <w:qFormat/>
    <w:uiPriority w:val="39"/>
    <w:pPr>
      <w:ind w:left="210"/>
      <w:jc w:val="left"/>
    </w:pPr>
    <w:rPr>
      <w:smallCaps/>
      <w:sz w:val="20"/>
      <w:szCs w:val="20"/>
    </w:rPr>
  </w:style>
  <w:style w:type="paragraph" w:customStyle="1" w:styleId="88">
    <w:name w:val="TOC 91"/>
    <w:basedOn w:val="1"/>
    <w:next w:val="1"/>
    <w:qFormat/>
    <w:uiPriority w:val="0"/>
    <w:pPr>
      <w:ind w:left="1680"/>
      <w:jc w:val="left"/>
    </w:pPr>
    <w:rPr>
      <w:sz w:val="18"/>
      <w:szCs w:val="18"/>
    </w:rPr>
  </w:style>
  <w:style w:type="character" w:customStyle="1" w:styleId="89">
    <w:name w:val="标题 字符"/>
    <w:link w:val="36"/>
    <w:qFormat/>
    <w:uiPriority w:val="0"/>
    <w:rPr>
      <w:rFonts w:ascii="Arial" w:hAnsi="Arial" w:eastAsia="宋体" w:cs="Times New Roman"/>
      <w:b/>
      <w:spacing w:val="14"/>
      <w:kern w:val="24"/>
      <w:sz w:val="32"/>
    </w:rPr>
  </w:style>
  <w:style w:type="character" w:customStyle="1" w:styleId="90">
    <w:name w:val="批注主题 字符"/>
    <w:link w:val="37"/>
    <w:qFormat/>
    <w:uiPriority w:val="0"/>
    <w:rPr>
      <w:rFonts w:ascii="Times New Roman" w:hAnsi="Times New Roman" w:eastAsia="宋体" w:cs="Times New Roman"/>
      <w:b/>
      <w:bCs/>
      <w:kern w:val="2"/>
      <w:sz w:val="21"/>
      <w:szCs w:val="24"/>
    </w:rPr>
  </w:style>
  <w:style w:type="character" w:customStyle="1" w:styleId="91">
    <w:name w:val="访问过的超链接1"/>
    <w:qFormat/>
    <w:uiPriority w:val="0"/>
    <w:rPr>
      <w:rFonts w:ascii="Times New Roman" w:hAnsi="Times New Roman" w:eastAsia="宋体" w:cs="Times New Roman"/>
      <w:color w:val="000000"/>
      <w:sz w:val="21"/>
      <w:szCs w:val="21"/>
      <w:u w:val="none"/>
    </w:rPr>
  </w:style>
  <w:style w:type="character" w:customStyle="1" w:styleId="92">
    <w:name w:val="Default Char"/>
    <w:link w:val="93"/>
    <w:qFormat/>
    <w:uiPriority w:val="0"/>
    <w:rPr>
      <w:rFonts w:ascii="宋体" w:hAnsi="Tahoma" w:eastAsia="宋体" w:cs="宋体"/>
      <w:b/>
      <w:bCs/>
      <w:color w:val="000000"/>
      <w:sz w:val="24"/>
      <w:szCs w:val="24"/>
      <w:lang w:val="en-US" w:eastAsia="zh-CN" w:bidi="ar-SA"/>
    </w:rPr>
  </w:style>
  <w:style w:type="paragraph" w:customStyle="1" w:styleId="93">
    <w:name w:val="Default"/>
    <w:next w:val="1"/>
    <w:link w:val="92"/>
    <w:qFormat/>
    <w:uiPriority w:val="0"/>
    <w:pPr>
      <w:widowControl w:val="0"/>
      <w:autoSpaceDE w:val="0"/>
      <w:autoSpaceDN w:val="0"/>
      <w:adjustRightInd w:val="0"/>
    </w:pPr>
    <w:rPr>
      <w:rFonts w:ascii="宋体" w:hAnsi="Tahoma" w:eastAsia="宋体" w:cs="宋体"/>
      <w:b/>
      <w:bCs/>
      <w:color w:val="000000"/>
      <w:sz w:val="24"/>
      <w:szCs w:val="24"/>
      <w:lang w:val="en-US" w:eastAsia="zh-CN" w:bidi="ar-SA"/>
    </w:rPr>
  </w:style>
  <w:style w:type="character" w:customStyle="1" w:styleId="94">
    <w:name w:val="表格文字 Char Char"/>
    <w:link w:val="95"/>
    <w:qFormat/>
    <w:uiPriority w:val="0"/>
    <w:rPr>
      <w:rFonts w:ascii="Times New Roman" w:hAnsi="Times New Roman" w:eastAsia="宋体" w:cs="Times New Roman"/>
      <w:kern w:val="21"/>
      <w:sz w:val="21"/>
      <w:szCs w:val="21"/>
    </w:rPr>
  </w:style>
  <w:style w:type="paragraph" w:customStyle="1" w:styleId="95">
    <w:name w:val="表格文字"/>
    <w:basedOn w:val="1"/>
    <w:next w:val="17"/>
    <w:link w:val="94"/>
    <w:qFormat/>
    <w:uiPriority w:val="0"/>
    <w:pPr>
      <w:jc w:val="left"/>
    </w:pPr>
    <w:rPr>
      <w:kern w:val="21"/>
      <w:szCs w:val="21"/>
    </w:rPr>
  </w:style>
  <w:style w:type="character" w:customStyle="1" w:styleId="96">
    <w:name w:val="列表段落 字符"/>
    <w:link w:val="97"/>
    <w:qFormat/>
    <w:uiPriority w:val="0"/>
    <w:rPr>
      <w:rFonts w:ascii="Calibri" w:hAnsi="Calibri" w:eastAsia="宋体" w:cs="Times New Roman"/>
      <w:kern w:val="2"/>
      <w:sz w:val="21"/>
      <w:szCs w:val="22"/>
    </w:rPr>
  </w:style>
  <w:style w:type="paragraph" w:customStyle="1" w:styleId="97">
    <w:name w:val="列表段落1"/>
    <w:basedOn w:val="1"/>
    <w:link w:val="96"/>
    <w:qFormat/>
    <w:uiPriority w:val="0"/>
    <w:pPr>
      <w:ind w:firstLine="420" w:firstLineChars="200"/>
    </w:pPr>
    <w:rPr>
      <w:rFonts w:ascii="Calibri" w:hAnsi="Calibri"/>
      <w:kern w:val="2"/>
      <w:szCs w:val="22"/>
    </w:rPr>
  </w:style>
  <w:style w:type="paragraph" w:customStyle="1" w:styleId="98">
    <w:name w:val="编号，小四"/>
    <w:basedOn w:val="1"/>
    <w:qFormat/>
    <w:uiPriority w:val="0"/>
    <w:pPr>
      <w:ind w:left="480"/>
    </w:pPr>
  </w:style>
  <w:style w:type="paragraph" w:customStyle="1" w:styleId="99">
    <w:name w:val="我编辑文档正文"/>
    <w:basedOn w:val="1"/>
    <w:link w:val="100"/>
    <w:qFormat/>
    <w:uiPriority w:val="0"/>
    <w:pPr>
      <w:spacing w:line="360" w:lineRule="auto"/>
      <w:ind w:right="69" w:rightChars="33" w:firstLine="360" w:firstLineChars="150"/>
      <w:jc w:val="left"/>
    </w:pPr>
    <w:rPr>
      <w:sz w:val="24"/>
    </w:rPr>
  </w:style>
  <w:style w:type="character" w:customStyle="1" w:styleId="100">
    <w:name w:val="我编辑文档正文 Char"/>
    <w:link w:val="99"/>
    <w:qFormat/>
    <w:uiPriority w:val="0"/>
    <w:rPr>
      <w:rFonts w:ascii="Times New Roman" w:hAnsi="Times New Roman" w:eastAsia="宋体" w:cs="Times New Roman"/>
      <w:sz w:val="24"/>
      <w:szCs w:val="24"/>
    </w:rPr>
  </w:style>
  <w:style w:type="character" w:customStyle="1" w:styleId="101">
    <w:name w:val="明显参考1"/>
    <w:qFormat/>
    <w:uiPriority w:val="0"/>
    <w:rPr>
      <w:rFonts w:ascii="Times New Roman" w:hAnsi="Times New Roman" w:eastAsia="宋体" w:cs="Times New Roman"/>
      <w:b/>
      <w:bCs/>
      <w:smallCaps/>
      <w:color w:val="C0504D"/>
      <w:spacing w:val="5"/>
      <w:u w:val="single"/>
    </w:rPr>
  </w:style>
  <w:style w:type="character" w:customStyle="1" w:styleId="102">
    <w:name w:val="font41"/>
    <w:qFormat/>
    <w:uiPriority w:val="0"/>
    <w:rPr>
      <w:rFonts w:hint="eastAsia" w:ascii="宋体" w:hAnsi="宋体" w:eastAsia="宋体" w:cs="宋体"/>
      <w:b/>
      <w:color w:val="000000"/>
      <w:sz w:val="28"/>
      <w:szCs w:val="28"/>
      <w:u w:val="none"/>
    </w:rPr>
  </w:style>
  <w:style w:type="paragraph" w:customStyle="1" w:styleId="103">
    <w:name w:val="P正文 Char"/>
    <w:basedOn w:val="1"/>
    <w:link w:val="104"/>
    <w:qFormat/>
    <w:uiPriority w:val="0"/>
    <w:pPr>
      <w:spacing w:beforeLines="50" w:afterLines="50"/>
      <w:ind w:left="540" w:leftChars="257"/>
    </w:pPr>
    <w:rPr>
      <w:kern w:val="2"/>
      <w:sz w:val="24"/>
    </w:rPr>
  </w:style>
  <w:style w:type="character" w:customStyle="1" w:styleId="104">
    <w:name w:val="P正文 Char Char"/>
    <w:link w:val="103"/>
    <w:qFormat/>
    <w:uiPriority w:val="0"/>
    <w:rPr>
      <w:rFonts w:ascii="Times New Roman" w:hAnsi="Times New Roman" w:eastAsia="宋体" w:cs="Times New Roman"/>
      <w:kern w:val="2"/>
      <w:sz w:val="24"/>
      <w:szCs w:val="24"/>
    </w:rPr>
  </w:style>
  <w:style w:type="character" w:customStyle="1" w:styleId="105">
    <w:name w:val="未处理的提及1"/>
    <w:qFormat/>
    <w:uiPriority w:val="0"/>
    <w:rPr>
      <w:rFonts w:ascii="Times New Roman" w:hAnsi="Times New Roman" w:eastAsia="宋体" w:cs="Times New Roman"/>
      <w:color w:val="605E5C"/>
      <w:shd w:val="clear" w:color="auto" w:fill="E1DFDD"/>
    </w:rPr>
  </w:style>
  <w:style w:type="character" w:customStyle="1" w:styleId="106">
    <w:name w:val="批注文字 字符1"/>
    <w:qFormat/>
    <w:uiPriority w:val="0"/>
    <w:rPr>
      <w:rFonts w:ascii="Times New Roman" w:hAnsi="Times New Roman" w:eastAsia="宋体" w:cs="Times New Roman"/>
      <w:kern w:val="2"/>
      <w:sz w:val="21"/>
      <w:szCs w:val="24"/>
    </w:rPr>
  </w:style>
  <w:style w:type="paragraph" w:customStyle="1" w:styleId="107">
    <w:name w:val="标准正文格式"/>
    <w:basedOn w:val="1"/>
    <w:link w:val="108"/>
    <w:qFormat/>
    <w:uiPriority w:val="0"/>
    <w:pPr>
      <w:widowControl/>
      <w:adjustRightInd w:val="0"/>
      <w:spacing w:before="60" w:after="120" w:line="360" w:lineRule="auto"/>
      <w:ind w:firstLine="200" w:firstLineChars="200"/>
      <w:textAlignment w:val="baseline"/>
    </w:pPr>
    <w:rPr>
      <w:rFonts w:ascii="宋体" w:eastAsia="仿宋_GB2312"/>
      <w:color w:val="000000"/>
      <w:sz w:val="24"/>
      <w:szCs w:val="20"/>
    </w:rPr>
  </w:style>
  <w:style w:type="character" w:customStyle="1" w:styleId="108">
    <w:name w:val="标准正文格式 Char"/>
    <w:link w:val="107"/>
    <w:qFormat/>
    <w:uiPriority w:val="0"/>
    <w:rPr>
      <w:rFonts w:ascii="宋体" w:hAnsi="Times New Roman" w:eastAsia="仿宋_GB2312" w:cs="宋体"/>
      <w:color w:val="000000"/>
      <w:sz w:val="24"/>
    </w:rPr>
  </w:style>
  <w:style w:type="character" w:customStyle="1" w:styleId="109">
    <w:name w:val="px141"/>
    <w:qFormat/>
    <w:uiPriority w:val="0"/>
    <w:rPr>
      <w:rFonts w:ascii="Times New Roman" w:hAnsi="Times New Roman" w:eastAsia="宋体" w:cs="Times New Roman"/>
      <w:sz w:val="21"/>
      <w:szCs w:val="21"/>
    </w:rPr>
  </w:style>
  <w:style w:type="character" w:customStyle="1" w:styleId="110">
    <w:name w:val="font21"/>
    <w:qFormat/>
    <w:uiPriority w:val="0"/>
    <w:rPr>
      <w:rFonts w:hint="eastAsia" w:ascii="宋体" w:hAnsi="宋体" w:eastAsia="宋体" w:cs="宋体"/>
      <w:color w:val="000000"/>
      <w:sz w:val="18"/>
      <w:szCs w:val="18"/>
      <w:u w:val="none"/>
    </w:rPr>
  </w:style>
  <w:style w:type="character" w:customStyle="1" w:styleId="111">
    <w:name w:val="b2"/>
    <w:qFormat/>
    <w:uiPriority w:val="0"/>
    <w:rPr>
      <w:rFonts w:ascii="Times New Roman" w:hAnsi="Times New Roman" w:eastAsia="宋体" w:cs="Times New Roman"/>
    </w:rPr>
  </w:style>
  <w:style w:type="character" w:customStyle="1" w:styleId="112">
    <w:name w:val="font31"/>
    <w:basedOn w:val="41"/>
    <w:qFormat/>
    <w:uiPriority w:val="0"/>
    <w:rPr>
      <w:rFonts w:hint="eastAsia" w:ascii="宋体" w:hAnsi="宋体" w:eastAsia="宋体" w:cs="宋体"/>
      <w:color w:val="000000"/>
      <w:sz w:val="20"/>
      <w:szCs w:val="20"/>
      <w:u w:val="none"/>
    </w:rPr>
  </w:style>
  <w:style w:type="character" w:customStyle="1" w:styleId="113">
    <w:name w:val="font81"/>
    <w:qFormat/>
    <w:uiPriority w:val="0"/>
    <w:rPr>
      <w:rFonts w:hint="eastAsia" w:ascii="宋体" w:hAnsi="宋体" w:eastAsia="宋体" w:cs="宋体"/>
      <w:b/>
      <w:color w:val="000000"/>
      <w:sz w:val="22"/>
      <w:szCs w:val="22"/>
      <w:u w:val="none"/>
    </w:rPr>
  </w:style>
  <w:style w:type="character" w:customStyle="1" w:styleId="114">
    <w:name w:val="日期 Char1"/>
    <w:qFormat/>
    <w:uiPriority w:val="0"/>
    <w:rPr>
      <w:rFonts w:ascii="Times New Roman" w:hAnsi="Times New Roman" w:eastAsia="宋体" w:cs="Times New Roman"/>
      <w:kern w:val="2"/>
      <w:sz w:val="21"/>
      <w:szCs w:val="24"/>
    </w:rPr>
  </w:style>
  <w:style w:type="character" w:customStyle="1" w:styleId="115">
    <w:name w:val="标题2"/>
    <w:qFormat/>
    <w:uiPriority w:val="0"/>
    <w:rPr>
      <w:rFonts w:ascii="微软雅黑" w:hAnsi="微软雅黑" w:eastAsia="微软雅黑" w:cs="Times New Roman"/>
      <w:b/>
      <w:bCs/>
      <w:color w:val="0D0D0D"/>
      <w:sz w:val="24"/>
    </w:rPr>
  </w:style>
  <w:style w:type="character" w:customStyle="1" w:styleId="116">
    <w:name w:val="正文（首行缩进两字） Char1"/>
    <w:qFormat/>
    <w:uiPriority w:val="0"/>
    <w:rPr>
      <w:rFonts w:ascii="Times New Roman" w:hAnsi="Times New Roman" w:eastAsia="仿宋_GB2312" w:cs="Times New Roman"/>
      <w:kern w:val="2"/>
      <w:sz w:val="28"/>
      <w:szCs w:val="24"/>
    </w:rPr>
  </w:style>
  <w:style w:type="character" w:customStyle="1" w:styleId="117">
    <w:name w:val="正文文字 Char"/>
    <w:qFormat/>
    <w:uiPriority w:val="0"/>
    <w:rPr>
      <w:rFonts w:ascii="Times New Roman" w:hAnsi="Times New Roman" w:eastAsia="宋体" w:cs="Times New Roman"/>
      <w:kern w:val="2"/>
      <w:sz w:val="21"/>
      <w:szCs w:val="24"/>
      <w:lang w:val="en-US" w:eastAsia="zh-CN" w:bidi="ar-SA"/>
    </w:rPr>
  </w:style>
  <w:style w:type="character" w:customStyle="1" w:styleId="118">
    <w:name w:val="称呼 Char1"/>
    <w:qFormat/>
    <w:uiPriority w:val="0"/>
    <w:rPr>
      <w:rFonts w:ascii="Times New Roman" w:hAnsi="Times New Roman" w:eastAsia="宋体" w:cs="Times New Roman"/>
      <w:kern w:val="2"/>
      <w:sz w:val="21"/>
      <w:szCs w:val="24"/>
    </w:rPr>
  </w:style>
  <w:style w:type="character" w:customStyle="1" w:styleId="119">
    <w:name w:val="font101"/>
    <w:qFormat/>
    <w:uiPriority w:val="0"/>
    <w:rPr>
      <w:rFonts w:hint="eastAsia" w:ascii="宋体" w:hAnsi="宋体" w:eastAsia="宋体" w:cs="宋体"/>
      <w:b/>
      <w:color w:val="000000"/>
      <w:sz w:val="22"/>
      <w:szCs w:val="22"/>
      <w:u w:val="none"/>
    </w:rPr>
  </w:style>
  <w:style w:type="character" w:customStyle="1" w:styleId="120">
    <w:name w:val="页眉 Char1"/>
    <w:qFormat/>
    <w:uiPriority w:val="0"/>
    <w:rPr>
      <w:rFonts w:ascii="Times New Roman" w:hAnsi="Times New Roman" w:eastAsia="宋体" w:cs="Times New Roman"/>
      <w:color w:val="000000"/>
      <w:kern w:val="1"/>
      <w:sz w:val="18"/>
      <w:szCs w:val="18"/>
      <w:lang w:val="zh-CN"/>
    </w:rPr>
  </w:style>
  <w:style w:type="paragraph" w:customStyle="1" w:styleId="121">
    <w:name w:val="标书正文样式"/>
    <w:basedOn w:val="1"/>
    <w:link w:val="122"/>
    <w:qFormat/>
    <w:uiPriority w:val="0"/>
    <w:pPr>
      <w:ind w:firstLine="560" w:firstLineChars="200"/>
      <w:jc w:val="left"/>
    </w:pPr>
    <w:rPr>
      <w:rFonts w:ascii="仿宋_GB2312" w:hAnsi="Arial" w:eastAsia="仿宋_GB2312"/>
      <w:kern w:val="2"/>
      <w:sz w:val="28"/>
      <w:szCs w:val="28"/>
    </w:rPr>
  </w:style>
  <w:style w:type="character" w:customStyle="1" w:styleId="122">
    <w:name w:val="标书正文样式 Char"/>
    <w:link w:val="121"/>
    <w:qFormat/>
    <w:uiPriority w:val="0"/>
    <w:rPr>
      <w:rFonts w:ascii="仿宋_GB2312" w:hAnsi="Arial" w:eastAsia="仿宋_GB2312" w:cs="Times New Roman"/>
      <w:kern w:val="2"/>
      <w:sz w:val="28"/>
      <w:szCs w:val="28"/>
      <w:lang w:bidi="ar-SA"/>
    </w:rPr>
  </w:style>
  <w:style w:type="character" w:customStyle="1" w:styleId="123">
    <w:name w:val="font11"/>
    <w:basedOn w:val="41"/>
    <w:qFormat/>
    <w:uiPriority w:val="0"/>
    <w:rPr>
      <w:rFonts w:hint="eastAsia" w:ascii="宋体" w:hAnsi="宋体" w:eastAsia="宋体" w:cs="宋体"/>
      <w:color w:val="000000"/>
      <w:sz w:val="22"/>
      <w:szCs w:val="22"/>
      <w:u w:val="none"/>
    </w:rPr>
  </w:style>
  <w:style w:type="character" w:customStyle="1" w:styleId="124">
    <w:name w:val="question-title2"/>
    <w:qFormat/>
    <w:uiPriority w:val="0"/>
    <w:rPr>
      <w:rFonts w:ascii="Times New Roman" w:hAnsi="Times New Roman" w:eastAsia="宋体" w:cs="Times New Roman"/>
    </w:rPr>
  </w:style>
  <w:style w:type="character" w:customStyle="1" w:styleId="125">
    <w:name w:val="纯文本 字符"/>
    <w:qFormat/>
    <w:uiPriority w:val="0"/>
    <w:rPr>
      <w:rFonts w:ascii="宋体" w:hAnsi="Courier New" w:eastAsia="宋体" w:cs="Times New Roman"/>
      <w:sz w:val="21"/>
      <w:szCs w:val="21"/>
      <w:lang w:val="en-US" w:eastAsia="zh-CN" w:bidi="ar-SA"/>
    </w:rPr>
  </w:style>
  <w:style w:type="character" w:customStyle="1" w:styleId="126">
    <w:name w:val="Char Char Char"/>
    <w:qFormat/>
    <w:uiPriority w:val="0"/>
    <w:rPr>
      <w:rFonts w:ascii="宋体" w:hAnsi="Courier New" w:eastAsia="宋体" w:cs="Times New Roman"/>
      <w:sz w:val="21"/>
      <w:szCs w:val="21"/>
      <w:lang w:val="en-US" w:eastAsia="zh-CN" w:bidi="ar-SA"/>
    </w:rPr>
  </w:style>
  <w:style w:type="paragraph" w:customStyle="1" w:styleId="127">
    <w:name w:val="无间隔1"/>
    <w:link w:val="128"/>
    <w:qFormat/>
    <w:uiPriority w:val="1"/>
    <w:pPr>
      <w:widowControl w:val="0"/>
      <w:spacing w:line="360" w:lineRule="auto"/>
      <w:jc w:val="both"/>
    </w:pPr>
    <w:rPr>
      <w:rFonts w:ascii="Times New Roman" w:hAnsi="Times New Roman" w:eastAsia="宋体" w:cs="Times New Roman"/>
      <w:sz w:val="24"/>
      <w:szCs w:val="24"/>
      <w:lang w:val="en-US" w:eastAsia="zh-CN" w:bidi="ar-SA"/>
    </w:rPr>
  </w:style>
  <w:style w:type="character" w:customStyle="1" w:styleId="128">
    <w:name w:val="无间隔 Char"/>
    <w:link w:val="127"/>
    <w:qFormat/>
    <w:uiPriority w:val="0"/>
    <w:rPr>
      <w:rFonts w:ascii="Times New Roman" w:hAnsi="Times New Roman" w:eastAsia="宋体" w:cs="Times New Roman"/>
      <w:sz w:val="24"/>
      <w:szCs w:val="24"/>
      <w:lang w:val="en-US" w:eastAsia="zh-CN" w:bidi="ar-SA"/>
    </w:rPr>
  </w:style>
  <w:style w:type="character" w:customStyle="1" w:styleId="129">
    <w:name w:val="Texte Char Char"/>
    <w:qFormat/>
    <w:uiPriority w:val="0"/>
    <w:rPr>
      <w:rFonts w:ascii="宋体" w:hAnsi="Courier New" w:eastAsia="宋体" w:cs="Times New Roman"/>
      <w:sz w:val="21"/>
      <w:szCs w:val="21"/>
      <w:lang w:val="en-US" w:eastAsia="zh-CN" w:bidi="ar-SA"/>
    </w:rPr>
  </w:style>
  <w:style w:type="character" w:customStyle="1" w:styleId="130">
    <w:name w:val="chs1"/>
    <w:qFormat/>
    <w:uiPriority w:val="0"/>
    <w:rPr>
      <w:rFonts w:hint="default" w:eastAsia="宋体" w:cs="Times New Roman"/>
      <w:sz w:val="18"/>
      <w:szCs w:val="18"/>
    </w:rPr>
  </w:style>
  <w:style w:type="paragraph" w:customStyle="1" w:styleId="131">
    <w:name w:val="样式 样式3 + 非加粗"/>
    <w:basedOn w:val="1"/>
    <w:link w:val="132"/>
    <w:qFormat/>
    <w:uiPriority w:val="0"/>
    <w:pPr>
      <w:adjustRightInd w:val="0"/>
      <w:snapToGrid w:val="0"/>
      <w:spacing w:line="300" w:lineRule="auto"/>
    </w:pPr>
    <w:rPr>
      <w:rFonts w:ascii="宋体" w:hAnsi="宋体"/>
      <w:b/>
      <w:bCs/>
      <w:color w:val="000000"/>
      <w:kern w:val="2"/>
      <w:sz w:val="24"/>
    </w:rPr>
  </w:style>
  <w:style w:type="character" w:customStyle="1" w:styleId="132">
    <w:name w:val="样式 样式3 + 非加粗 Char"/>
    <w:link w:val="131"/>
    <w:qFormat/>
    <w:uiPriority w:val="0"/>
    <w:rPr>
      <w:rFonts w:ascii="宋体" w:hAnsi="宋体" w:eastAsia="宋体" w:cs="Times New Roman"/>
      <w:b/>
      <w:bCs/>
      <w:color w:val="000000"/>
      <w:kern w:val="2"/>
      <w:sz w:val="24"/>
      <w:szCs w:val="24"/>
      <w:lang w:val="en-US" w:eastAsia="zh-CN" w:bidi="ar-SA"/>
    </w:rPr>
  </w:style>
  <w:style w:type="character" w:customStyle="1" w:styleId="133">
    <w:name w:val="aa1"/>
    <w:qFormat/>
    <w:uiPriority w:val="0"/>
    <w:rPr>
      <w:rFonts w:hint="default" w:eastAsia="宋体" w:cs="Times New Roman"/>
      <w:color w:val="000000"/>
      <w:sz w:val="20"/>
      <w:szCs w:val="20"/>
      <w:u w:val="none"/>
    </w:rPr>
  </w:style>
  <w:style w:type="paragraph" w:customStyle="1" w:styleId="134">
    <w:name w:val="招标正文"/>
    <w:basedOn w:val="1"/>
    <w:link w:val="135"/>
    <w:qFormat/>
    <w:uiPriority w:val="0"/>
    <w:pPr>
      <w:widowControl/>
      <w:spacing w:line="360" w:lineRule="auto"/>
      <w:ind w:firstLine="480" w:firstLineChars="200"/>
    </w:pPr>
    <w:rPr>
      <w:snapToGrid w:val="0"/>
      <w:sz w:val="24"/>
      <w:lang w:val="en-GB"/>
    </w:rPr>
  </w:style>
  <w:style w:type="character" w:customStyle="1" w:styleId="135">
    <w:name w:val="招标正文 Char Char"/>
    <w:link w:val="134"/>
    <w:qFormat/>
    <w:uiPriority w:val="0"/>
    <w:rPr>
      <w:rFonts w:ascii="Times New Roman" w:hAnsi="Times New Roman" w:eastAsia="宋体" w:cs="Times New Roman"/>
      <w:snapToGrid w:val="0"/>
      <w:sz w:val="24"/>
      <w:szCs w:val="24"/>
      <w:lang w:val="en-GB" w:bidi="ar-SA"/>
    </w:rPr>
  </w:style>
  <w:style w:type="character" w:customStyle="1" w:styleId="136">
    <w:name w:val="textfont"/>
    <w:qFormat/>
    <w:uiPriority w:val="0"/>
    <w:rPr>
      <w:rFonts w:ascii="Times New Roman" w:hAnsi="Times New Roman" w:eastAsia="宋体" w:cs="Times New Roman"/>
    </w:rPr>
  </w:style>
  <w:style w:type="character" w:customStyle="1" w:styleId="137">
    <w:name w:val="称呼 字符1"/>
    <w:qFormat/>
    <w:uiPriority w:val="0"/>
    <w:rPr>
      <w:rFonts w:ascii="Times New Roman" w:hAnsi="Times New Roman" w:eastAsia="宋体" w:cs="Times New Roman"/>
      <w:kern w:val="2"/>
      <w:sz w:val="21"/>
      <w:szCs w:val="24"/>
    </w:rPr>
  </w:style>
  <w:style w:type="character" w:customStyle="1" w:styleId="138">
    <w:name w:val="标题 Char1"/>
    <w:qFormat/>
    <w:uiPriority w:val="0"/>
    <w:rPr>
      <w:rFonts w:ascii="Calibri Light" w:hAnsi="Calibri Light" w:eastAsia="宋体" w:cs="Times New Roman"/>
      <w:b/>
      <w:bCs/>
      <w:kern w:val="2"/>
      <w:sz w:val="32"/>
      <w:szCs w:val="32"/>
    </w:rPr>
  </w:style>
  <w:style w:type="character" w:customStyle="1" w:styleId="139">
    <w:name w:val="unnamed51"/>
    <w:qFormat/>
    <w:uiPriority w:val="0"/>
    <w:rPr>
      <w:rFonts w:ascii="Times New Roman" w:hAnsi="Times New Roman" w:eastAsia="宋体" w:cs="Times New Roman"/>
      <w:sz w:val="22"/>
      <w:szCs w:val="22"/>
    </w:rPr>
  </w:style>
  <w:style w:type="character" w:customStyle="1" w:styleId="140">
    <w:name w:val="title1"/>
    <w:qFormat/>
    <w:uiPriority w:val="0"/>
    <w:rPr>
      <w:rFonts w:hint="eastAsia" w:ascii="宋体" w:hAnsi="宋体" w:eastAsia="宋体" w:cs="Times New Roman"/>
      <w:b/>
      <w:bCs/>
      <w:sz w:val="22"/>
      <w:szCs w:val="22"/>
    </w:rPr>
  </w:style>
  <w:style w:type="character" w:customStyle="1" w:styleId="141">
    <w:name w:val="15"/>
    <w:qFormat/>
    <w:uiPriority w:val="0"/>
    <w:rPr>
      <w:rFonts w:hint="default" w:ascii="Times New Roman" w:hAnsi="Times New Roman" w:eastAsia="宋体" w:cs="Times New Roman"/>
      <w:b/>
      <w:bCs/>
      <w:spacing w:val="-2"/>
      <w:sz w:val="24"/>
      <w:szCs w:val="24"/>
    </w:rPr>
  </w:style>
  <w:style w:type="character" w:customStyle="1" w:styleId="142">
    <w:name w:val="font51"/>
    <w:qFormat/>
    <w:uiPriority w:val="0"/>
    <w:rPr>
      <w:rFonts w:hint="eastAsia" w:ascii="宋体" w:hAnsi="宋体" w:eastAsia="宋体" w:cs="宋体"/>
      <w:color w:val="000000"/>
      <w:sz w:val="22"/>
      <w:szCs w:val="22"/>
      <w:u w:val="none"/>
    </w:rPr>
  </w:style>
  <w:style w:type="character" w:customStyle="1" w:styleId="143">
    <w:name w:val="font01"/>
    <w:qFormat/>
    <w:uiPriority w:val="0"/>
    <w:rPr>
      <w:rFonts w:hint="eastAsia" w:ascii="宋体" w:hAnsi="宋体" w:eastAsia="宋体" w:cs="宋体"/>
      <w:b/>
      <w:color w:val="000000"/>
      <w:sz w:val="28"/>
      <w:szCs w:val="28"/>
      <w:u w:val="none"/>
    </w:rPr>
  </w:style>
  <w:style w:type="character" w:customStyle="1" w:styleId="144">
    <w:name w:val="bt11"/>
    <w:qFormat/>
    <w:uiPriority w:val="0"/>
    <w:rPr>
      <w:rFonts w:ascii="Times New Roman" w:hAnsi="Times New Roman" w:eastAsia="仿宋_GB2312" w:cs="Times New Roman"/>
      <w:b/>
      <w:color w:val="000000"/>
      <w:sz w:val="30"/>
      <w:szCs w:val="20"/>
      <w:u w:val="none"/>
    </w:rPr>
  </w:style>
  <w:style w:type="character" w:customStyle="1" w:styleId="145">
    <w:name w:val="f16b1"/>
    <w:qFormat/>
    <w:uiPriority w:val="0"/>
    <w:rPr>
      <w:rFonts w:ascii="Times New Roman" w:hAnsi="Times New Roman" w:eastAsia="宋体" w:cs="Times New Roman"/>
      <w:b/>
      <w:bCs/>
      <w:color w:val="333333"/>
      <w:sz w:val="22"/>
      <w:szCs w:val="22"/>
    </w:rPr>
  </w:style>
  <w:style w:type="character" w:customStyle="1" w:styleId="146">
    <w:name w:val="纯文本 Char1"/>
    <w:qFormat/>
    <w:uiPriority w:val="0"/>
    <w:rPr>
      <w:rFonts w:ascii="宋体" w:hAnsi="Courier New" w:eastAsia="宋体" w:cs="Times New Roman"/>
      <w:sz w:val="21"/>
      <w:szCs w:val="21"/>
      <w:lang w:val="en-US" w:eastAsia="zh-CN" w:bidi="ar-SA"/>
    </w:rPr>
  </w:style>
  <w:style w:type="character" w:customStyle="1" w:styleId="147">
    <w:name w:val="普通文字 Char"/>
    <w:qFormat/>
    <w:uiPriority w:val="0"/>
    <w:rPr>
      <w:rFonts w:ascii="宋体" w:hAnsi="Courier New" w:eastAsia="宋体" w:cs="Times New Roman"/>
      <w:kern w:val="2"/>
      <w:sz w:val="21"/>
      <w:lang w:bidi="ar-SA"/>
    </w:rPr>
  </w:style>
  <w:style w:type="character" w:customStyle="1" w:styleId="148">
    <w:name w:val="style13"/>
    <w:qFormat/>
    <w:uiPriority w:val="0"/>
    <w:rPr>
      <w:rFonts w:ascii="Times New Roman" w:hAnsi="Times New Roman" w:eastAsia="宋体" w:cs="Times New Roman"/>
    </w:rPr>
  </w:style>
  <w:style w:type="character" w:customStyle="1" w:styleId="149">
    <w:name w:val="font61"/>
    <w:qFormat/>
    <w:uiPriority w:val="0"/>
    <w:rPr>
      <w:rFonts w:hint="eastAsia" w:ascii="宋体" w:hAnsi="宋体" w:eastAsia="宋体" w:cs="宋体"/>
      <w:color w:val="000000"/>
      <w:sz w:val="22"/>
      <w:szCs w:val="22"/>
      <w:u w:val="none"/>
    </w:rPr>
  </w:style>
  <w:style w:type="paragraph" w:customStyle="1" w:styleId="150">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sz w:val="24"/>
    </w:rPr>
  </w:style>
  <w:style w:type="paragraph" w:customStyle="1" w:styleId="151">
    <w:name w:val="Char2"/>
    <w:basedOn w:val="14"/>
    <w:next w:val="1"/>
    <w:qFormat/>
    <w:uiPriority w:val="0"/>
    <w:rPr>
      <w:rFonts w:ascii="宋体" w:hAnsi="宋体"/>
    </w:rPr>
  </w:style>
  <w:style w:type="paragraph" w:customStyle="1" w:styleId="152">
    <w:name w:val="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153">
    <w:name w:val="1111"/>
    <w:basedOn w:val="1"/>
    <w:qFormat/>
    <w:uiPriority w:val="0"/>
    <w:rPr>
      <w:rFonts w:ascii="Calibri" w:hAnsi="Calibri"/>
      <w:sz w:val="18"/>
    </w:rPr>
  </w:style>
  <w:style w:type="paragraph" w:customStyle="1" w:styleId="154">
    <w:name w:val="Char Char Char1"/>
    <w:basedOn w:val="1"/>
    <w:qFormat/>
    <w:uiPriority w:val="0"/>
    <w:rPr>
      <w:rFonts w:ascii="Tahoma" w:hAnsi="Tahoma"/>
      <w:sz w:val="24"/>
      <w:szCs w:val="20"/>
    </w:rPr>
  </w:style>
  <w:style w:type="paragraph" w:customStyle="1" w:styleId="155">
    <w:name w:val="中等深浅网格 1 - 强调文字颜色 21"/>
    <w:basedOn w:val="1"/>
    <w:qFormat/>
    <w:uiPriority w:val="0"/>
    <w:pPr>
      <w:ind w:firstLine="420" w:firstLineChars="200"/>
    </w:pPr>
    <w:rPr>
      <w:rFonts w:ascii="等线" w:hAnsi="等线" w:eastAsia="等线" w:cs="宋体"/>
      <w:szCs w:val="21"/>
    </w:rPr>
  </w:style>
  <w:style w:type="paragraph" w:customStyle="1" w:styleId="156">
    <w:name w:val="_Style 13"/>
    <w:basedOn w:val="1"/>
    <w:next w:val="97"/>
    <w:qFormat/>
    <w:uiPriority w:val="0"/>
    <w:pPr>
      <w:ind w:firstLine="420"/>
    </w:pPr>
    <w:rPr>
      <w:rFonts w:ascii="Calibri" w:hAnsi="Calibri"/>
      <w:color w:val="000000"/>
      <w:kern w:val="1"/>
    </w:rPr>
  </w:style>
  <w:style w:type="paragraph" w:customStyle="1" w:styleId="157">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sz w:val="24"/>
      <w:szCs w:val="20"/>
    </w:rPr>
  </w:style>
  <w:style w:type="paragraph" w:customStyle="1" w:styleId="158">
    <w:name w:val="xl55"/>
    <w:basedOn w:val="1"/>
    <w:qFormat/>
    <w:uiPriority w:val="0"/>
    <w:pPr>
      <w:widowControl/>
      <w:spacing w:before="100" w:beforeAutospacing="1" w:after="100" w:afterAutospacing="1"/>
      <w:jc w:val="center"/>
      <w:textAlignment w:val="center"/>
    </w:pPr>
    <w:rPr>
      <w:rFonts w:ascii="Arial Unicode MS" w:hAnsi="Arial Unicode MS"/>
      <w:sz w:val="24"/>
    </w:rPr>
  </w:style>
  <w:style w:type="paragraph" w:customStyle="1" w:styleId="159">
    <w:name w:val="table_1stline"/>
    <w:basedOn w:val="1"/>
    <w:qFormat/>
    <w:uiPriority w:val="0"/>
    <w:pPr>
      <w:widowControl/>
      <w:spacing w:before="120"/>
      <w:jc w:val="left"/>
    </w:pPr>
    <w:rPr>
      <w:bCs/>
      <w:sz w:val="20"/>
      <w:szCs w:val="20"/>
      <w:lang w:val="de-DE" w:eastAsia="de-DE"/>
    </w:rPr>
  </w:style>
  <w:style w:type="paragraph" w:customStyle="1" w:styleId="160">
    <w:name w:val="附录项目"/>
    <w:basedOn w:val="6"/>
    <w:qFormat/>
    <w:uiPriority w:val="0"/>
    <w:pPr>
      <w:keepNext w:val="0"/>
      <w:keepLines w:val="0"/>
      <w:tabs>
        <w:tab w:val="clear" w:pos="567"/>
      </w:tabs>
      <w:snapToGrid w:val="0"/>
      <w:spacing w:beforeLines="50"/>
      <w:ind w:left="0" w:firstLine="0"/>
      <w:outlineLvl w:val="9"/>
    </w:pPr>
    <w:rPr>
      <w:rFonts w:ascii="Arial" w:hAnsi="Arial" w:eastAsia="楷体_GB2312" w:cs="Arial"/>
      <w:bCs w:val="0"/>
      <w:snapToGrid w:val="0"/>
      <w:color w:val="FF00FF"/>
      <w:kern w:val="0"/>
      <w:sz w:val="21"/>
      <w:szCs w:val="20"/>
    </w:rPr>
  </w:style>
  <w:style w:type="paragraph" w:customStyle="1" w:styleId="161">
    <w:name w:val="Proposals body"/>
    <w:basedOn w:val="1"/>
    <w:next w:val="1"/>
    <w:qFormat/>
    <w:uiPriority w:val="0"/>
    <w:pPr>
      <w:widowControl/>
      <w:spacing w:line="360" w:lineRule="auto"/>
      <w:jc w:val="left"/>
    </w:pPr>
    <w:rPr>
      <w:rFonts w:ascii="宋体"/>
      <w:snapToGrid w:val="0"/>
      <w:color w:val="000000"/>
      <w:sz w:val="24"/>
      <w:szCs w:val="20"/>
    </w:rPr>
  </w:style>
  <w:style w:type="paragraph" w:customStyle="1" w:styleId="162">
    <w:name w:val="题注4"/>
    <w:basedOn w:val="1"/>
    <w:next w:val="12"/>
    <w:qFormat/>
    <w:uiPriority w:val="0"/>
    <w:pPr>
      <w:ind w:left="-132" w:leftChars="-64" w:right="-105" w:hanging="2"/>
      <w:jc w:val="center"/>
    </w:pPr>
    <w:rPr>
      <w:rFonts w:ascii="宋体"/>
      <w:b/>
      <w:color w:val="FF0000"/>
      <w:sz w:val="24"/>
      <w:szCs w:val="20"/>
      <w:lang w:val="en-GB"/>
    </w:rPr>
  </w:style>
  <w:style w:type="paragraph" w:customStyle="1" w:styleId="163">
    <w:name w:val="正文，段落，小四，22磅行距"/>
    <w:qFormat/>
    <w:uiPriority w:val="0"/>
    <w:pPr>
      <w:widowControl w:val="0"/>
      <w:spacing w:line="440" w:lineRule="exact"/>
      <w:ind w:firstLine="420"/>
      <w:jc w:val="both"/>
    </w:pPr>
    <w:rPr>
      <w:rFonts w:ascii="Times New Roman" w:hAnsi="Times New Roman" w:eastAsia="宋体" w:cs="Times New Roman"/>
      <w:sz w:val="24"/>
      <w:szCs w:val="24"/>
      <w:lang w:val="en-US" w:eastAsia="zh-CN" w:bidi="ar-SA"/>
    </w:rPr>
  </w:style>
  <w:style w:type="paragraph" w:customStyle="1" w:styleId="164">
    <w:name w:val="[Normal]"/>
    <w:qFormat/>
    <w:uiPriority w:val="0"/>
    <w:rPr>
      <w:rFonts w:ascii="宋体" w:hAnsi="宋体" w:eastAsia="宋体" w:cs="Times New Roman"/>
      <w:sz w:val="24"/>
      <w:szCs w:val="22"/>
      <w:lang w:val="zh-CN" w:eastAsia="zh-CN" w:bidi="ar-SA"/>
    </w:rPr>
  </w:style>
  <w:style w:type="paragraph" w:customStyle="1" w:styleId="165">
    <w:name w:val="reader-word-layer reader-word-s2-5"/>
    <w:basedOn w:val="1"/>
    <w:qFormat/>
    <w:uiPriority w:val="0"/>
    <w:pPr>
      <w:widowControl/>
      <w:spacing w:before="100" w:beforeAutospacing="1" w:after="100" w:afterAutospacing="1"/>
      <w:jc w:val="left"/>
    </w:pPr>
    <w:rPr>
      <w:rFonts w:ascii="宋体" w:hAnsi="宋体" w:cs="宋体"/>
      <w:sz w:val="24"/>
      <w:lang w:bidi="bo-CN"/>
    </w:rPr>
  </w:style>
  <w:style w:type="paragraph" w:customStyle="1" w:styleId="166">
    <w:name w:val="正文内容"/>
    <w:basedOn w:val="1"/>
    <w:qFormat/>
    <w:uiPriority w:val="0"/>
    <w:pPr>
      <w:jc w:val="left"/>
    </w:pPr>
    <w:rPr>
      <w:rFonts w:ascii="微软雅黑" w:hAnsi="微软雅黑" w:eastAsia="微软雅黑" w:cs="宋体"/>
      <w:color w:val="0D0D0D"/>
      <w:sz w:val="18"/>
      <w:szCs w:val="18"/>
    </w:rPr>
  </w:style>
  <w:style w:type="paragraph" w:customStyle="1" w:styleId="167">
    <w:name w:val="彩色列表1"/>
    <w:basedOn w:val="1"/>
    <w:qFormat/>
    <w:uiPriority w:val="0"/>
    <w:pPr>
      <w:ind w:firstLine="420" w:firstLineChars="200"/>
    </w:pPr>
    <w:rPr>
      <w:rFonts w:ascii="Calibri" w:hAnsi="Calibri"/>
    </w:rPr>
  </w:style>
  <w:style w:type="paragraph" w:customStyle="1" w:styleId="168">
    <w:name w:val="p0"/>
    <w:basedOn w:val="1"/>
    <w:qFormat/>
    <w:uiPriority w:val="0"/>
    <w:pPr>
      <w:widowControl/>
      <w:spacing w:before="100" w:beforeAutospacing="1" w:after="100" w:afterAutospacing="1"/>
      <w:jc w:val="left"/>
    </w:pPr>
    <w:rPr>
      <w:rFonts w:ascii="宋体" w:hAnsi="宋体" w:cs="宋体"/>
      <w:sz w:val="24"/>
    </w:rPr>
  </w:style>
  <w:style w:type="paragraph" w:customStyle="1" w:styleId="169">
    <w:name w:val="Char Char Char Char Char Char Char Char Char Char Char Char Char"/>
    <w:basedOn w:val="1"/>
    <w:qFormat/>
    <w:uiPriority w:val="0"/>
    <w:rPr>
      <w:rFonts w:ascii="Tahoma" w:hAnsi="Tahoma"/>
      <w:sz w:val="24"/>
      <w:szCs w:val="20"/>
    </w:rPr>
  </w:style>
  <w:style w:type="paragraph" w:customStyle="1" w:styleId="170">
    <w:name w:val="样式1"/>
    <w:qFormat/>
    <w:uiPriority w:val="0"/>
    <w:pPr>
      <w:keepNext/>
      <w:keepLines/>
      <w:widowControl w:val="0"/>
      <w:tabs>
        <w:tab w:val="left" w:pos="425"/>
      </w:tabs>
      <w:spacing w:beforeLines="50"/>
      <w:jc w:val="center"/>
      <w:outlineLvl w:val="0"/>
    </w:pPr>
    <w:rPr>
      <w:rFonts w:ascii="宋体" w:hAnsi="宋体" w:eastAsia="宋体" w:cs="Times New Roman"/>
      <w:kern w:val="44"/>
      <w:sz w:val="21"/>
      <w:szCs w:val="36"/>
      <w:lang w:val="en-US" w:eastAsia="zh-CN" w:bidi="ar-SA"/>
    </w:rPr>
  </w:style>
  <w:style w:type="paragraph" w:customStyle="1" w:styleId="171">
    <w:name w:val="样式 正文缩进 + 首行缩进:  2 字符"/>
    <w:basedOn w:val="11"/>
    <w:qFormat/>
    <w:uiPriority w:val="0"/>
    <w:pPr>
      <w:adjustRightInd/>
      <w:spacing w:line="360" w:lineRule="auto"/>
      <w:ind w:firstLine="200" w:firstLineChars="200"/>
      <w:textAlignment w:val="auto"/>
    </w:pPr>
    <w:rPr>
      <w:rFonts w:cs="宋体"/>
      <w:kern w:val="2"/>
      <w:sz w:val="24"/>
    </w:rPr>
  </w:style>
  <w:style w:type="paragraph" w:customStyle="1" w:styleId="172">
    <w:name w:val="列出段落1"/>
    <w:basedOn w:val="1"/>
    <w:qFormat/>
    <w:uiPriority w:val="0"/>
    <w:pPr>
      <w:ind w:firstLine="420" w:firstLineChars="200"/>
    </w:pPr>
    <w:rPr>
      <w:rFonts w:ascii="Calibri" w:hAnsi="Calibri"/>
      <w:szCs w:val="20"/>
    </w:rPr>
  </w:style>
  <w:style w:type="paragraph" w:customStyle="1" w:styleId="173">
    <w:name w:val="Char"/>
    <w:basedOn w:val="1"/>
    <w:qFormat/>
    <w:uiPriority w:val="0"/>
    <w:rPr>
      <w:rFonts w:eastAsia="仿宋_GB2312"/>
      <w:sz w:val="28"/>
    </w:rPr>
  </w:style>
  <w:style w:type="paragraph" w:customStyle="1" w:styleId="174">
    <w:name w:val="Char Char Char Char Char Char Char"/>
    <w:basedOn w:val="1"/>
    <w:qFormat/>
    <w:uiPriority w:val="0"/>
    <w:rPr>
      <w:rFonts w:ascii="仿宋_GB2312" w:eastAsia="仿宋_GB2312"/>
      <w:b/>
      <w:sz w:val="32"/>
      <w:szCs w:val="32"/>
    </w:rPr>
  </w:style>
  <w:style w:type="paragraph" w:customStyle="1" w:styleId="17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176">
    <w:name w:val="正文－恩普"/>
    <w:basedOn w:val="11"/>
    <w:qFormat/>
    <w:uiPriority w:val="0"/>
    <w:pPr>
      <w:widowControl/>
      <w:adjustRightInd/>
      <w:spacing w:before="100" w:beforeAutospacing="1" w:afterLines="50" w:afterAutospacing="1" w:line="360" w:lineRule="auto"/>
      <w:ind w:firstLine="480" w:firstLineChars="200"/>
      <w:jc w:val="left"/>
      <w:textAlignment w:val="auto"/>
    </w:pPr>
    <w:rPr>
      <w:rFonts w:ascii="仿宋_GB2312" w:hAnsi="宋体" w:eastAsia="仿宋_GB2312" w:cs="宋体"/>
      <w:b/>
      <w:bCs/>
      <w:color w:val="000000"/>
      <w:sz w:val="24"/>
    </w:rPr>
  </w:style>
  <w:style w:type="paragraph" w:customStyle="1" w:styleId="177">
    <w:name w:val="默认"/>
    <w:qFormat/>
    <w:uiPriority w:val="0"/>
    <w:rPr>
      <w:rFonts w:hint="eastAsia" w:ascii="Arial Unicode MS" w:hAnsi="Arial Unicode MS" w:eastAsia="Helvetica Neue" w:cs="Arial Unicode MS"/>
      <w:color w:val="000000"/>
      <w:sz w:val="22"/>
      <w:szCs w:val="22"/>
      <w:lang w:val="zh-TW" w:eastAsia="zh-TW" w:bidi="ar-SA"/>
    </w:rPr>
  </w:style>
  <w:style w:type="paragraph" w:customStyle="1" w:styleId="178">
    <w:name w:val="Char4"/>
    <w:basedOn w:val="1"/>
    <w:qFormat/>
    <w:uiPriority w:val="0"/>
    <w:rPr>
      <w:szCs w:val="20"/>
    </w:rPr>
  </w:style>
  <w:style w:type="paragraph" w:customStyle="1" w:styleId="179">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sz w:val="28"/>
      <w:szCs w:val="28"/>
    </w:rPr>
  </w:style>
  <w:style w:type="paragraph" w:customStyle="1" w:styleId="180">
    <w:name w:val="默认段落字体 Para Char"/>
    <w:basedOn w:val="1"/>
    <w:qFormat/>
    <w:uiPriority w:val="0"/>
    <w:rPr>
      <w:rFonts w:ascii="Calibri" w:hAnsi="Calibri"/>
      <w:szCs w:val="20"/>
    </w:rPr>
  </w:style>
  <w:style w:type="paragraph" w:customStyle="1" w:styleId="181">
    <w:name w:val="行间12_5号"/>
    <w:basedOn w:val="1"/>
    <w:qFormat/>
    <w:uiPriority w:val="0"/>
    <w:pPr>
      <w:adjustRightInd w:val="0"/>
      <w:spacing w:line="240" w:lineRule="exact"/>
      <w:jc w:val="center"/>
      <w:textAlignment w:val="baseline"/>
    </w:pPr>
    <w:rPr>
      <w:szCs w:val="20"/>
    </w:rPr>
  </w:style>
  <w:style w:type="paragraph" w:customStyle="1" w:styleId="182">
    <w:name w:val="Char1"/>
    <w:basedOn w:val="1"/>
    <w:qFormat/>
    <w:uiPriority w:val="0"/>
    <w:rPr>
      <w:rFonts w:ascii="仿宋_GB2312" w:eastAsia="仿宋_GB2312"/>
      <w:b/>
      <w:sz w:val="32"/>
      <w:szCs w:val="32"/>
    </w:rPr>
  </w:style>
  <w:style w:type="paragraph" w:customStyle="1" w:styleId="183">
    <w:name w:val="Char3"/>
    <w:basedOn w:val="14"/>
    <w:qFormat/>
    <w:uiPriority w:val="0"/>
  </w:style>
  <w:style w:type="paragraph" w:customStyle="1" w:styleId="184">
    <w:name w:val="reader-word-layer reader-word-s3-7"/>
    <w:basedOn w:val="1"/>
    <w:qFormat/>
    <w:uiPriority w:val="0"/>
    <w:pPr>
      <w:widowControl/>
      <w:spacing w:before="100" w:beforeAutospacing="1" w:after="100" w:afterAutospacing="1"/>
      <w:jc w:val="left"/>
    </w:pPr>
    <w:rPr>
      <w:rFonts w:ascii="宋体" w:hAnsi="宋体" w:cs="宋体"/>
      <w:sz w:val="24"/>
      <w:lang w:bidi="bo-CN"/>
    </w:rPr>
  </w:style>
  <w:style w:type="paragraph" w:customStyle="1" w:styleId="185">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6">
    <w:name w:val="Char Char Char Char Char Char"/>
    <w:basedOn w:val="1"/>
    <w:qFormat/>
    <w:uiPriority w:val="0"/>
    <w:rPr>
      <w:rFonts w:ascii="Tahoma" w:hAnsi="Tahoma"/>
      <w:sz w:val="24"/>
      <w:szCs w:val="20"/>
    </w:rPr>
  </w:style>
  <w:style w:type="paragraph" w:customStyle="1" w:styleId="187">
    <w:name w:val="表内文字"/>
    <w:basedOn w:val="1"/>
    <w:qFormat/>
    <w:uiPriority w:val="0"/>
    <w:pPr>
      <w:spacing w:line="240" w:lineRule="atLeast"/>
      <w:jc w:val="center"/>
    </w:pPr>
    <w:rPr>
      <w:rFonts w:ascii="Arial" w:hAnsi="Arial" w:cs="Arial"/>
      <w:b/>
      <w:bCs/>
    </w:rPr>
  </w:style>
  <w:style w:type="paragraph" w:customStyle="1" w:styleId="188">
    <w:name w:val="Char Char"/>
    <w:basedOn w:val="1"/>
    <w:qFormat/>
    <w:uiPriority w:val="0"/>
    <w:rPr>
      <w:rFonts w:ascii="仿宋_GB2312" w:eastAsia="仿宋_GB2312"/>
      <w:b/>
      <w:sz w:val="32"/>
      <w:szCs w:val="32"/>
    </w:rPr>
  </w:style>
  <w:style w:type="paragraph" w:customStyle="1" w:styleId="189">
    <w:name w:val="缩进"/>
    <w:basedOn w:val="1"/>
    <w:qFormat/>
    <w:uiPriority w:val="0"/>
    <w:pPr>
      <w:tabs>
        <w:tab w:val="left" w:pos="1924"/>
      </w:tabs>
      <w:adjustRightInd w:val="0"/>
      <w:spacing w:line="300" w:lineRule="auto"/>
      <w:ind w:left="1924" w:hanging="420"/>
      <w:jc w:val="left"/>
    </w:pPr>
    <w:rPr>
      <w:rFonts w:ascii="Calibri" w:hAnsi="Calibri"/>
      <w:sz w:val="24"/>
      <w:szCs w:val="21"/>
    </w:rPr>
  </w:style>
  <w:style w:type="paragraph" w:customStyle="1" w:styleId="190">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Char Char Char Char Char Char1"/>
    <w:basedOn w:val="1"/>
    <w:qFormat/>
    <w:uiPriority w:val="0"/>
    <w:pPr>
      <w:ind w:firstLine="200" w:firstLineChars="200"/>
    </w:pPr>
    <w:rPr>
      <w:rFonts w:ascii="Tahoma" w:hAnsi="Tahoma" w:cs="Tahoma"/>
      <w:sz w:val="24"/>
    </w:rPr>
  </w:style>
  <w:style w:type="paragraph" w:customStyle="1" w:styleId="192">
    <w:name w:val="reader-word-layer reader-word-s2-7"/>
    <w:basedOn w:val="1"/>
    <w:qFormat/>
    <w:uiPriority w:val="0"/>
    <w:pPr>
      <w:widowControl/>
      <w:spacing w:before="100" w:beforeAutospacing="1" w:after="100" w:afterAutospacing="1"/>
      <w:jc w:val="left"/>
    </w:pPr>
    <w:rPr>
      <w:rFonts w:ascii="宋体" w:hAnsi="宋体" w:cs="宋体"/>
      <w:sz w:val="24"/>
      <w:lang w:bidi="bo-CN"/>
    </w:rPr>
  </w:style>
  <w:style w:type="paragraph" w:customStyle="1" w:styleId="193">
    <w:name w:val="默认段落字体 Para Char Char Char Char Char Char Char"/>
    <w:basedOn w:val="1"/>
    <w:qFormat/>
    <w:uiPriority w:val="0"/>
    <w:rPr>
      <w:rFonts w:ascii="Tahoma" w:hAnsi="Tahoma"/>
      <w:sz w:val="24"/>
      <w:szCs w:val="20"/>
    </w:rPr>
  </w:style>
  <w:style w:type="paragraph" w:customStyle="1" w:styleId="194">
    <w:name w:val="Char Char2 Char"/>
    <w:basedOn w:val="1"/>
    <w:qFormat/>
    <w:uiPriority w:val="0"/>
    <w:pPr>
      <w:keepNext/>
      <w:keepLines/>
      <w:pageBreakBefore/>
      <w:tabs>
        <w:tab w:val="left" w:pos="845"/>
      </w:tabs>
      <w:ind w:left="845" w:hanging="420"/>
    </w:pPr>
    <w:rPr>
      <w:szCs w:val="20"/>
    </w:rPr>
  </w:style>
  <w:style w:type="paragraph" w:customStyle="1" w:styleId="195">
    <w:name w:val="Pa5"/>
    <w:basedOn w:val="1"/>
    <w:next w:val="1"/>
    <w:qFormat/>
    <w:uiPriority w:val="0"/>
    <w:pPr>
      <w:autoSpaceDE w:val="0"/>
      <w:autoSpaceDN w:val="0"/>
      <w:adjustRightInd w:val="0"/>
      <w:spacing w:line="121" w:lineRule="atLeast"/>
      <w:jc w:val="left"/>
    </w:pPr>
    <w:rPr>
      <w:rFonts w:ascii="DaxPro-CondRegular" w:hAnsi="黑体" w:eastAsia="DaxPro-CondRegular"/>
      <w:sz w:val="24"/>
    </w:rPr>
  </w:style>
  <w:style w:type="paragraph" w:customStyle="1" w:styleId="196">
    <w:name w:val="Char Char Char Char Char Char Char Char Char1 Char"/>
    <w:basedOn w:val="1"/>
    <w:qFormat/>
    <w:uiPriority w:val="0"/>
    <w:pPr>
      <w:widowControl/>
      <w:jc w:val="left"/>
    </w:pPr>
    <w:rPr>
      <w:rFonts w:ascii="仿宋_GB2312" w:hAnsi="Calibri" w:eastAsia="仿宋_GB2312"/>
      <w:b/>
      <w:sz w:val="32"/>
      <w:szCs w:val="32"/>
    </w:rPr>
  </w:style>
  <w:style w:type="paragraph" w:customStyle="1" w:styleId="197">
    <w:name w:val="纯文本 New New"/>
    <w:qFormat/>
    <w:uiPriority w:val="0"/>
    <w:pPr>
      <w:overflowPunct w:val="0"/>
      <w:autoSpaceDE w:val="0"/>
      <w:autoSpaceDN w:val="0"/>
      <w:adjustRightInd w:val="0"/>
      <w:textAlignment w:val="baseline"/>
    </w:pPr>
    <w:rPr>
      <w:rFonts w:ascii="宋体" w:hAnsi="Courier New" w:eastAsia="宋体" w:cs="Times New Roman"/>
      <w:kern w:val="2"/>
      <w:sz w:val="21"/>
      <w:szCs w:val="21"/>
      <w:lang w:val="en-US" w:eastAsia="zh-CN" w:bidi="ar-SA"/>
    </w:rPr>
  </w:style>
  <w:style w:type="paragraph" w:customStyle="1" w:styleId="198">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99">
    <w:name w:val="Char Char Char Char Char Char Char1"/>
    <w:basedOn w:val="1"/>
    <w:qFormat/>
    <w:uiPriority w:val="0"/>
    <w:pPr>
      <w:spacing w:line="360" w:lineRule="auto"/>
      <w:ind w:firstLine="200" w:firstLineChars="200"/>
    </w:pPr>
    <w:rPr>
      <w:rFonts w:ascii="宋体" w:hAnsi="宋体" w:cs="宋体"/>
      <w:sz w:val="24"/>
    </w:rPr>
  </w:style>
  <w:style w:type="paragraph" w:customStyle="1" w:styleId="200">
    <w:name w:val="默认段落字体 Para Char Char Char Char"/>
    <w:basedOn w:val="1"/>
    <w:qFormat/>
    <w:uiPriority w:val="0"/>
    <w:rPr>
      <w:sz w:val="32"/>
      <w:szCs w:val="32"/>
    </w:rPr>
  </w:style>
  <w:style w:type="paragraph" w:customStyle="1" w:styleId="201">
    <w:name w:val="保留正文"/>
    <w:basedOn w:val="17"/>
    <w:qFormat/>
    <w:uiPriority w:val="0"/>
    <w:pPr>
      <w:keepNext/>
      <w:spacing w:after="160"/>
    </w:pPr>
    <w:rPr>
      <w:szCs w:val="20"/>
    </w:rPr>
  </w:style>
  <w:style w:type="character" w:customStyle="1" w:styleId="202">
    <w:name w:val="正文文本 字符"/>
    <w:qFormat/>
    <w:uiPriority w:val="99"/>
    <w:rPr>
      <w:rFonts w:ascii="Times New Roman" w:hAnsi="Times New Roman" w:eastAsia="宋体" w:cs="Times New Roman"/>
      <w:kern w:val="2"/>
      <w:sz w:val="21"/>
      <w:szCs w:val="24"/>
    </w:rPr>
  </w:style>
  <w:style w:type="character" w:customStyle="1" w:styleId="203">
    <w:name w:val="日期 字符"/>
    <w:qFormat/>
    <w:uiPriority w:val="0"/>
    <w:rPr>
      <w:rFonts w:ascii="Times New Roman" w:hAnsi="Times New Roman" w:eastAsia="宋体" w:cs="Times New Roman"/>
      <w:color w:val="000000"/>
      <w:kern w:val="1"/>
      <w:sz w:val="30"/>
    </w:rPr>
  </w:style>
  <w:style w:type="character" w:customStyle="1" w:styleId="204">
    <w:name w:val="批注文字 字符"/>
    <w:qFormat/>
    <w:uiPriority w:val="0"/>
    <w:rPr>
      <w:rFonts w:ascii="Times New Roman" w:hAnsi="Times New Roman" w:eastAsia="宋体" w:cs="Times New Roman"/>
      <w:kern w:val="2"/>
      <w:sz w:val="21"/>
      <w:szCs w:val="24"/>
    </w:rPr>
  </w:style>
  <w:style w:type="character" w:customStyle="1" w:styleId="205">
    <w:name w:val="NormalCharacter"/>
    <w:qFormat/>
    <w:uiPriority w:val="0"/>
    <w:rPr>
      <w:rFonts w:ascii="Times New Roman" w:hAnsi="Times New Roman" w:eastAsia="宋体" w:cs="Times New Roman"/>
    </w:rPr>
  </w:style>
  <w:style w:type="paragraph" w:customStyle="1" w:styleId="206">
    <w:name w:val="列出段落3"/>
    <w:basedOn w:val="1"/>
    <w:qFormat/>
    <w:uiPriority w:val="0"/>
    <w:pPr>
      <w:ind w:firstLine="420" w:firstLineChars="200"/>
    </w:pPr>
    <w:rPr>
      <w:rFonts w:ascii="Arial" w:hAnsi="Arial" w:cs="Arial"/>
      <w:kern w:val="2"/>
    </w:rPr>
  </w:style>
  <w:style w:type="paragraph" w:customStyle="1" w:styleId="20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08">
    <w:name w:val="修订1"/>
    <w:qFormat/>
    <w:uiPriority w:val="0"/>
    <w:rPr>
      <w:rFonts w:ascii="Times New Roman" w:hAnsi="Times New Roman" w:eastAsia="宋体" w:cs="Times New Roman"/>
      <w:sz w:val="21"/>
      <w:szCs w:val="24"/>
      <w:lang w:val="en-US" w:eastAsia="zh-CN" w:bidi="ar-SA"/>
    </w:rPr>
  </w:style>
  <w:style w:type="character" w:customStyle="1" w:styleId="209">
    <w:name w:val="标题 4 字符1"/>
    <w:qFormat/>
    <w:uiPriority w:val="0"/>
    <w:rPr>
      <w:rFonts w:ascii="Calibri" w:hAnsi="Calibri" w:eastAsia="Tahoma"/>
      <w:b/>
      <w:sz w:val="24"/>
      <w:lang w:val="zh-CN"/>
    </w:rPr>
  </w:style>
  <w:style w:type="paragraph" w:styleId="210">
    <w:name w:val="List Paragraph"/>
    <w:basedOn w:val="1"/>
    <w:qFormat/>
    <w:uiPriority w:val="0"/>
    <w:pPr>
      <w:ind w:firstLine="420" w:firstLineChars="200"/>
    </w:pPr>
  </w:style>
  <w:style w:type="paragraph" w:customStyle="1" w:styleId="211">
    <w:name w:val="修订2"/>
    <w:hidden/>
    <w:semiHidden/>
    <w:qFormat/>
    <w:uiPriority w:val="99"/>
    <w:rPr>
      <w:rFonts w:ascii="Times New Roman" w:hAnsi="Times New Roman" w:eastAsia="宋体" w:cs="Times New Roman"/>
      <w:sz w:val="21"/>
      <w:szCs w:val="24"/>
      <w:lang w:val="en-US" w:eastAsia="zh-CN" w:bidi="ar-SA"/>
    </w:rPr>
  </w:style>
  <w:style w:type="paragraph" w:customStyle="1" w:styleId="212">
    <w:name w:val="修订3"/>
    <w:hidden/>
    <w:semiHidden/>
    <w:qFormat/>
    <w:uiPriority w:val="99"/>
    <w:rPr>
      <w:rFonts w:ascii="Times New Roman" w:hAnsi="Times New Roman" w:eastAsia="宋体" w:cs="Times New Roman"/>
      <w:sz w:val="21"/>
      <w:szCs w:val="24"/>
      <w:lang w:val="en-US" w:eastAsia="zh-CN" w:bidi="ar-SA"/>
    </w:rPr>
  </w:style>
  <w:style w:type="character" w:customStyle="1" w:styleId="213">
    <w:name w:val="未处理的提及2"/>
    <w:basedOn w:val="41"/>
    <w:semiHidden/>
    <w:unhideWhenUsed/>
    <w:qFormat/>
    <w:uiPriority w:val="99"/>
    <w:rPr>
      <w:color w:val="605E5C"/>
      <w:shd w:val="clear" w:color="auto" w:fill="E1DFDD"/>
    </w:rPr>
  </w:style>
  <w:style w:type="character" w:customStyle="1" w:styleId="214">
    <w:name w:val="font71"/>
    <w:basedOn w:val="41"/>
    <w:qFormat/>
    <w:uiPriority w:val="0"/>
    <w:rPr>
      <w:rFonts w:hint="default" w:ascii="华文仿宋" w:hAnsi="华文仿宋" w:eastAsia="华文仿宋" w:cs="华文仿宋"/>
      <w:b/>
      <w:bCs/>
      <w:color w:val="000000"/>
      <w:sz w:val="24"/>
      <w:szCs w:val="24"/>
      <w:u w:val="none"/>
    </w:rPr>
  </w:style>
  <w:style w:type="paragraph" w:customStyle="1" w:styleId="215">
    <w:name w:val="Table Paragraph"/>
    <w:basedOn w:val="1"/>
    <w:qFormat/>
    <w:uiPriority w:val="1"/>
    <w:pPr>
      <w:autoSpaceDE w:val="0"/>
      <w:autoSpaceDN w:val="0"/>
      <w:jc w:val="left"/>
    </w:pPr>
    <w:rPr>
      <w:rFonts w:ascii="宋体" w:hAnsi="宋体" w:cs="宋体"/>
      <w:sz w:val="22"/>
    </w:rPr>
  </w:style>
  <w:style w:type="character" w:customStyle="1" w:styleId="216">
    <w:name w:val="content-right_8zs401"/>
    <w:basedOn w:val="41"/>
    <w:qFormat/>
    <w:uiPriority w:val="0"/>
  </w:style>
  <w:style w:type="paragraph" w:customStyle="1" w:styleId="217">
    <w:name w:val="zsy正文"/>
    <w:basedOn w:val="1"/>
    <w:qFormat/>
    <w:uiPriority w:val="0"/>
    <w:pPr>
      <w:ind w:firstLine="480"/>
    </w:pPr>
  </w:style>
  <w:style w:type="paragraph" w:customStyle="1" w:styleId="218">
    <w:name w:val="z正文"/>
    <w:qFormat/>
    <w:uiPriority w:val="0"/>
    <w:pPr>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19">
    <w:name w:val="Fließtext"/>
    <w:basedOn w:val="1"/>
    <w:qFormat/>
    <w:uiPriority w:val="0"/>
    <w:pPr>
      <w:overflowPunct w:val="0"/>
      <w:autoSpaceDE w:val="0"/>
      <w:autoSpaceDN w:val="0"/>
      <w:adjustRightInd w:val="0"/>
      <w:textAlignment w:val="baseline"/>
    </w:pPr>
    <w:rPr>
      <w:kern w:val="28"/>
      <w:szCs w:val="20"/>
    </w:rPr>
  </w:style>
  <w:style w:type="paragraph" w:customStyle="1" w:styleId="220">
    <w:name w:val="_Style 3"/>
    <w:basedOn w:val="2"/>
    <w:next w:val="1"/>
    <w:qFormat/>
    <w:uiPriority w:val="39"/>
    <w:pPr>
      <w:keepNext w:val="0"/>
      <w:keepLines w:val="0"/>
      <w:pageBreakBefore/>
      <w:widowControl/>
      <w:tabs>
        <w:tab w:val="clear" w:pos="840"/>
      </w:tabs>
      <w:adjustRightInd/>
      <w:snapToGrid/>
      <w:spacing w:before="240" w:after="240" w:line="259" w:lineRule="auto"/>
      <w:jc w:val="left"/>
      <w:outlineLvl w:val="9"/>
    </w:pPr>
    <w:rPr>
      <w:rFonts w:ascii="Calibri Light" w:hAnsi="Calibri Light"/>
      <w:b w:val="0"/>
      <w:bCs/>
      <w:color w:val="2E74B5"/>
      <w:kern w:val="0"/>
      <w:sz w:val="36"/>
      <w:szCs w:val="32"/>
    </w:rPr>
  </w:style>
  <w:style w:type="paragraph" w:customStyle="1" w:styleId="221">
    <w:name w:val="修订4"/>
    <w:hidden/>
    <w:unhideWhenUsed/>
    <w:qFormat/>
    <w:uiPriority w:val="99"/>
    <w:rPr>
      <w:rFonts w:ascii="Times New Roman" w:hAnsi="Times New Roman" w:eastAsia="宋体" w:cs="Times New Roman"/>
      <w:sz w:val="21"/>
      <w:szCs w:val="24"/>
      <w:lang w:val="en-US" w:eastAsia="zh-CN" w:bidi="ar-SA"/>
    </w:rPr>
  </w:style>
  <w:style w:type="paragraph" w:customStyle="1" w:styleId="222">
    <w:name w:val="正文缩进1"/>
    <w:basedOn w:val="1"/>
    <w:next w:val="20"/>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23">
    <w:name w:val="索引 11"/>
    <w:basedOn w:val="1"/>
    <w:next w:val="1"/>
    <w:qFormat/>
    <w:uiPriority w:val="99"/>
    <w:pPr>
      <w:spacing w:line="360" w:lineRule="auto"/>
    </w:pPr>
    <w:rPr>
      <w:rFonts w:ascii="仿宋_GB2312" w:eastAsia="仿宋_GB2312"/>
      <w:sz w:val="24"/>
      <w:szCs w:val="20"/>
    </w:rPr>
  </w:style>
  <w:style w:type="paragraph" w:customStyle="1" w:styleId="224">
    <w:name w:val="text-tag"/>
    <w:basedOn w:val="1"/>
    <w:semiHidden/>
    <w:qFormat/>
    <w:uiPriority w:val="99"/>
    <w:pPr>
      <w:widowControl/>
      <w:spacing w:before="100" w:beforeAutospacing="1" w:after="100" w:afterAutospacing="1"/>
      <w:jc w:val="left"/>
    </w:pPr>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55</Pages>
  <Words>24488</Words>
  <Characters>26197</Characters>
  <Lines>1930</Lines>
  <Paragraphs>1882</Paragraphs>
  <TotalTime>10</TotalTime>
  <ScaleCrop>false</ScaleCrop>
  <LinksUpToDate>false</LinksUpToDate>
  <CharactersWithSpaces>27937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2024-09-22T01:15:00Z</dcterms:created>
  <dc:creator>郑伟</dc:creator>
  <cp:lastModifiedBy>liuhuicong</cp:lastModifiedBy>
  <cp:lastPrinted>2025-08-11T07:55:00Z</cp:lastPrinted>
  <dcterms:modified xsi:type="dcterms:W3CDTF">2025-08-14T08:53:18Z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2338EB4D22D048C091CE4065840FBFE8_13</vt:lpwstr>
  </property>
  <property fmtid="{D5CDD505-2E9C-101B-9397-08002B2CF9AE}" pid="4" name="commondata">
    <vt:lpwstr>eyJoZGlkIjoiOWM2Y2JhMGEwNDg2YWY5ZDY5NjJlZDgyM2VkMjhhNTMifQ==</vt:lpwstr>
  </property>
  <property fmtid="{D5CDD505-2E9C-101B-9397-08002B2CF9AE}" pid="5" name="KSOTemplateDocerSaveRecord">
    <vt:lpwstr>eyJoZGlkIjoiNmNjMzZiNzczYzc5OGExMjEyMDUxOGFjMjhhMmEwNzIiLCJ1c2VySWQiOiIxNDMzNTU1MyJ9</vt:lpwstr>
  </property>
</Properties>
</file>